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565"/>
        </w:trPr>
        <w:tc>
          <w:tcPr>
            <w:tcW w:w="3200" w:type="dxa"/>
            <w:vAlign w:val="bottom"/>
          </w:tcPr>
          <w:p>
            <w:pPr>
              <w:spacing w:after="0"/>
              <w:rPr>
                <w:sz w:val="24"/>
                <w:szCs w:val="24"/>
                <w:color w:val="auto"/>
              </w:rPr>
            </w:pPr>
          </w:p>
        </w:tc>
        <w:tc>
          <w:tcPr>
            <w:tcW w:w="4980" w:type="dxa"/>
            <w:vAlign w:val="bottom"/>
          </w:tcPr>
          <w:p>
            <w:pPr>
              <w:jc w:val="center"/>
              <w:ind w:right="29"/>
              <w:spacing w:after="0"/>
              <w:rPr>
                <w:sz w:val="20"/>
                <w:szCs w:val="20"/>
                <w:color w:val="auto"/>
              </w:rPr>
            </w:pPr>
            <w:r>
              <w:rPr>
                <w:rFonts w:ascii="Arial" w:cs="Arial" w:eastAsia="Arial" w:hAnsi="Arial"/>
                <w:sz w:val="43"/>
                <w:szCs w:val="43"/>
                <w:b w:val="1"/>
                <w:bCs w:val="1"/>
                <w:color w:val="auto"/>
              </w:rPr>
              <w:t>COMSCORE, INC.</w:t>
            </w:r>
          </w:p>
        </w:tc>
        <w:tc>
          <w:tcPr>
            <w:tcW w:w="3060" w:type="dxa"/>
            <w:vAlign w:val="bottom"/>
          </w:tcPr>
          <w:p>
            <w:pPr>
              <w:spacing w:after="0"/>
              <w:rPr>
                <w:sz w:val="24"/>
                <w:szCs w:val="24"/>
                <w:color w:val="auto"/>
              </w:rPr>
            </w:pPr>
          </w:p>
        </w:tc>
      </w:tr>
      <w:tr>
        <w:trPr>
          <w:trHeight w:val="235"/>
        </w:trPr>
        <w:tc>
          <w:tcPr>
            <w:tcW w:w="320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Arial" w:cs="Arial" w:eastAsia="Arial" w:hAnsi="Arial"/>
                <w:sz w:val="18"/>
                <w:szCs w:val="18"/>
                <w:b w:val="1"/>
                <w:bCs w:val="1"/>
                <w:color w:val="auto"/>
              </w:rPr>
              <w:t>(Exact name of registrant as specified in charter)</w:t>
            </w:r>
          </w:p>
        </w:tc>
        <w:tc>
          <w:tcPr>
            <w:tcW w:w="3060" w:type="dxa"/>
            <w:vAlign w:val="bottom"/>
          </w:tcPr>
          <w:p>
            <w:pPr>
              <w:spacing w:after="0"/>
              <w:rPr>
                <w:sz w:val="20"/>
                <w:szCs w:val="20"/>
                <w:color w:val="auto"/>
              </w:rPr>
            </w:pPr>
          </w:p>
        </w:tc>
      </w:tr>
      <w:tr>
        <w:trPr>
          <w:trHeight w:val="209"/>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96"/>
        </w:trPr>
        <w:tc>
          <w:tcPr>
            <w:tcW w:w="32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69"/>
              <w:spacing w:after="0"/>
              <w:rPr>
                <w:sz w:val="20"/>
                <w:szCs w:val="20"/>
                <w:color w:val="auto"/>
              </w:rPr>
            </w:pPr>
            <w:r>
              <w:rPr>
                <w:rFonts w:ascii="Arial" w:cs="Arial" w:eastAsia="Arial" w:hAnsi="Arial"/>
                <w:sz w:val="18"/>
                <w:szCs w:val="18"/>
                <w:b w:val="1"/>
                <w:bCs w:val="1"/>
                <w:color w:val="auto"/>
                <w:w w:val="90"/>
              </w:rPr>
              <w:t>001-33520</w:t>
            </w:r>
          </w:p>
        </w:tc>
        <w:tc>
          <w:tcPr>
            <w:tcW w:w="3060" w:type="dxa"/>
            <w:vAlign w:val="bottom"/>
          </w:tcPr>
          <w:p>
            <w:pPr>
              <w:jc w:val="center"/>
              <w:ind w:right="582"/>
              <w:spacing w:after="0"/>
              <w:rPr>
                <w:sz w:val="20"/>
                <w:szCs w:val="20"/>
                <w:color w:val="auto"/>
              </w:rPr>
            </w:pPr>
            <w:r>
              <w:rPr>
                <w:rFonts w:ascii="Arial" w:cs="Arial" w:eastAsia="Arial" w:hAnsi="Arial"/>
                <w:sz w:val="18"/>
                <w:szCs w:val="18"/>
                <w:b w:val="1"/>
                <w:bCs w:val="1"/>
                <w:color w:val="auto"/>
                <w:w w:val="91"/>
              </w:rPr>
              <w:t>54-1955550</w:t>
            </w:r>
          </w:p>
        </w:tc>
      </w:tr>
      <w:tr>
        <w:trPr>
          <w:trHeight w:val="144"/>
        </w:trPr>
        <w:tc>
          <w:tcPr>
            <w:tcW w:w="3200" w:type="dxa"/>
            <w:vAlign w:val="bottom"/>
          </w:tcPr>
          <w:p>
            <w:pPr>
              <w:jc w:val="center"/>
              <w:ind w:left="40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980" w:type="dxa"/>
            <w:vAlign w:val="bottom"/>
          </w:tcPr>
          <w:p>
            <w:pPr>
              <w:jc w:val="center"/>
              <w:ind w:right="89"/>
              <w:spacing w:after="0" w:line="145" w:lineRule="exact"/>
              <w:rPr>
                <w:sz w:val="20"/>
                <w:szCs w:val="20"/>
                <w:color w:val="auto"/>
              </w:rPr>
            </w:pPr>
            <w:r>
              <w:rPr>
                <w:rFonts w:ascii="Arial" w:cs="Arial" w:eastAsia="Arial" w:hAnsi="Arial"/>
                <w:sz w:val="14"/>
                <w:szCs w:val="14"/>
                <w:b w:val="1"/>
                <w:bCs w:val="1"/>
                <w:color w:val="auto"/>
                <w:w w:val="90"/>
              </w:rPr>
              <w:t>(Commission</w:t>
            </w:r>
          </w:p>
        </w:tc>
        <w:tc>
          <w:tcPr>
            <w:tcW w:w="3060" w:type="dxa"/>
            <w:vAlign w:val="bottom"/>
          </w:tcPr>
          <w:p>
            <w:pPr>
              <w:jc w:val="center"/>
              <w:ind w:right="5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0" w:type="dxa"/>
            <w:vAlign w:val="bottom"/>
          </w:tcPr>
          <w:p>
            <w:pPr>
              <w:jc w:val="center"/>
              <w:ind w:left="402"/>
              <w:spacing w:after="0"/>
              <w:rPr>
                <w:sz w:val="20"/>
                <w:szCs w:val="20"/>
                <w:color w:val="auto"/>
              </w:rPr>
            </w:pPr>
            <w:r>
              <w:rPr>
                <w:rFonts w:ascii="Arial" w:cs="Arial" w:eastAsia="Arial" w:hAnsi="Arial"/>
                <w:sz w:val="14"/>
                <w:szCs w:val="14"/>
                <w:b w:val="1"/>
                <w:bCs w:val="1"/>
                <w:color w:val="auto"/>
                <w:w w:val="92"/>
              </w:rPr>
              <w:t>of incorporation)</w:t>
            </w:r>
          </w:p>
        </w:tc>
        <w:tc>
          <w:tcPr>
            <w:tcW w:w="4980" w:type="dxa"/>
            <w:vAlign w:val="bottom"/>
          </w:tcPr>
          <w:p>
            <w:pPr>
              <w:jc w:val="center"/>
              <w:ind w:right="69"/>
              <w:spacing w:after="0"/>
              <w:rPr>
                <w:sz w:val="20"/>
                <w:szCs w:val="20"/>
                <w:color w:val="auto"/>
              </w:rPr>
            </w:pPr>
            <w:r>
              <w:rPr>
                <w:rFonts w:ascii="Arial" w:cs="Arial" w:eastAsia="Arial" w:hAnsi="Arial"/>
                <w:sz w:val="14"/>
                <w:szCs w:val="14"/>
                <w:b w:val="1"/>
                <w:bCs w:val="1"/>
                <w:color w:val="auto"/>
                <w:w w:val="95"/>
              </w:rPr>
              <w:t>File Number)</w:t>
            </w:r>
          </w:p>
        </w:tc>
        <w:tc>
          <w:tcPr>
            <w:tcW w:w="3060" w:type="dxa"/>
            <w:vAlign w:val="bottom"/>
          </w:tcPr>
          <w:p>
            <w:pPr>
              <w:jc w:val="center"/>
              <w:ind w:right="582"/>
              <w:spacing w:after="0"/>
              <w:rPr>
                <w:sz w:val="20"/>
                <w:szCs w:val="20"/>
                <w:color w:val="auto"/>
              </w:rPr>
            </w:pPr>
            <w:r>
              <w:rPr>
                <w:rFonts w:ascii="Arial" w:cs="Arial" w:eastAsia="Arial" w:hAnsi="Arial"/>
                <w:sz w:val="14"/>
                <w:szCs w:val="14"/>
                <w:b w:val="1"/>
                <w:bCs w:val="1"/>
                <w:color w:val="auto"/>
                <w:w w:val="94"/>
              </w:rPr>
              <w:t>Identification No.)</w:t>
            </w:r>
          </w:p>
        </w:tc>
      </w:tr>
      <w:tr>
        <w:trPr>
          <w:trHeight w:val="416"/>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Arial" w:cs="Arial" w:eastAsia="Arial" w:hAnsi="Arial"/>
                <w:sz w:val="18"/>
                <w:szCs w:val="18"/>
                <w:b w:val="1"/>
                <w:bCs w:val="1"/>
                <w:color w:val="auto"/>
                <w:w w:val="91"/>
              </w:rPr>
              <w:t>11950 Democracy Drive</w:t>
            </w:r>
          </w:p>
        </w:tc>
        <w:tc>
          <w:tcPr>
            <w:tcW w:w="30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Arial" w:cs="Arial" w:eastAsia="Arial" w:hAnsi="Arial"/>
                <w:sz w:val="18"/>
                <w:szCs w:val="18"/>
                <w:b w:val="1"/>
                <w:bCs w:val="1"/>
                <w:color w:val="auto"/>
                <w:w w:val="88"/>
              </w:rPr>
              <w:t>Suite 600</w:t>
            </w:r>
          </w:p>
        </w:tc>
        <w:tc>
          <w:tcPr>
            <w:tcW w:w="306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Arial" w:cs="Arial" w:eastAsia="Arial" w:hAnsi="Arial"/>
                <w:sz w:val="18"/>
                <w:szCs w:val="18"/>
                <w:b w:val="1"/>
                <w:bCs w:val="1"/>
                <w:color w:val="auto"/>
                <w:w w:val="90"/>
              </w:rPr>
              <w:t>Reston, Virginia 20190</w:t>
            </w:r>
          </w:p>
        </w:tc>
        <w:tc>
          <w:tcPr>
            <w:tcW w:w="3060" w:type="dxa"/>
            <w:vAlign w:val="bottom"/>
          </w:tcPr>
          <w:p>
            <w:pPr>
              <w:spacing w:after="0"/>
              <w:rPr>
                <w:sz w:val="18"/>
                <w:szCs w:val="18"/>
                <w:color w:val="auto"/>
              </w:rPr>
            </w:pPr>
          </w:p>
        </w:tc>
      </w:tr>
      <w:tr>
        <w:trPr>
          <w:trHeight w:val="186"/>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060" w:type="dxa"/>
            <w:vAlign w:val="bottom"/>
          </w:tcPr>
          <w:p>
            <w:pPr>
              <w:spacing w:after="0"/>
              <w:rPr>
                <w:sz w:val="16"/>
                <w:szCs w:val="16"/>
                <w:color w:val="auto"/>
              </w:rPr>
            </w:pPr>
          </w:p>
        </w:tc>
      </w:tr>
      <w:tr>
        <w:trPr>
          <w:trHeight w:val="421"/>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Arial" w:cs="Arial" w:eastAsia="Arial" w:hAnsi="Arial"/>
                <w:sz w:val="18"/>
                <w:szCs w:val="18"/>
                <w:b w:val="1"/>
                <w:bCs w:val="1"/>
                <w:color w:val="auto"/>
                <w:w w:val="91"/>
              </w:rPr>
              <w:t>(703) 438–2000</w:t>
            </w:r>
          </w:p>
        </w:tc>
        <w:tc>
          <w:tcPr>
            <w:tcW w:w="3060" w:type="dxa"/>
            <w:vAlign w:val="bottom"/>
          </w:tcPr>
          <w:p>
            <w:pPr>
              <w:spacing w:after="0"/>
              <w:rPr>
                <w:sz w:val="24"/>
                <w:szCs w:val="24"/>
                <w:color w:val="auto"/>
              </w:rPr>
            </w:pPr>
          </w:p>
        </w:tc>
      </w:tr>
      <w:tr>
        <w:trPr>
          <w:trHeight w:val="186"/>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60" w:type="dxa"/>
            <w:vAlign w:val="bottom"/>
          </w:tcPr>
          <w:p>
            <w:pPr>
              <w:spacing w:after="0"/>
              <w:rPr>
                <w:sz w:val="16"/>
                <w:szCs w:val="16"/>
                <w:color w:val="auto"/>
              </w:rPr>
            </w:pPr>
          </w:p>
        </w:tc>
      </w:tr>
      <w:tr>
        <w:trPr>
          <w:trHeight w:val="381"/>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N/A</w:t>
            </w:r>
          </w:p>
        </w:tc>
        <w:tc>
          <w:tcPr>
            <w:tcW w:w="3060" w:type="dxa"/>
            <w:vAlign w:val="bottom"/>
          </w:tcPr>
          <w:p>
            <w:pPr>
              <w:spacing w:after="0"/>
              <w:rPr>
                <w:sz w:val="24"/>
                <w:szCs w:val="24"/>
                <w:color w:val="auto"/>
              </w:rPr>
            </w:pPr>
          </w:p>
        </w:tc>
      </w:tr>
      <w:tr>
        <w:trPr>
          <w:trHeight w:val="186"/>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060" w:type="dxa"/>
            <w:vAlign w:val="bottom"/>
          </w:tcPr>
          <w:p>
            <w:pPr>
              <w:spacing w:after="0"/>
              <w:rPr>
                <w:sz w:val="16"/>
                <w:szCs w:val="16"/>
                <w:color w:val="auto"/>
              </w:rPr>
            </w:pPr>
          </w:p>
        </w:tc>
      </w:tr>
      <w:tr>
        <w:trPr>
          <w:trHeight w:val="208"/>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bl>
    <w:p>
      <w:pPr>
        <w:spacing w:after="0" w:line="20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Title of Each Class</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Trading Symbol</w:t>
            </w:r>
          </w:p>
        </w:tc>
        <w:tc>
          <w:tcPr>
            <w:tcW w:w="438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5"/>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03"/>
        </w:trPr>
        <w:tc>
          <w:tcPr>
            <w:tcW w:w="448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Common Stock, par value $0.001 per share</w:t>
            </w:r>
          </w:p>
        </w:tc>
        <w:tc>
          <w:tcPr>
            <w:tcW w:w="238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SCOR</w:t>
            </w:r>
          </w:p>
        </w:tc>
        <w:tc>
          <w:tcPr>
            <w:tcW w:w="43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jc w:val="both"/>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January 26, 2023, the Board of Directors (the "Board") of comScore, Inc. (the "Company"), on the recommendation of its Nominating and Governance Committee, appointed Leslie Gillin as a Class II director, effective January 30, 2023. The Board also appointed Ms. Gillin as a member of its Compensation Committee and Growth Committee. Ms. Gillin was designated as an independent director and is not affiliated with any holder of the Company's Series B convertible preferred stock.</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Ms. Gillin currently serves as Pagaya's Chief Growth Officer, overseeing global growth strategy, business development, marketing, public relations and external communications for that company. She joined Pagaya in 2021 from JPMorgan Chase, where she served as Chief Marketing Officer of the firm and prior to that was President of Chase's CoBrand Cards Services. Ms. Gillin has also held senior executive leadership positions at Bank of America, Citi and MBNA, including leadership roles in Canada and Europe. She has been recognized as a Top 50 Women Leaders by </w:t>
      </w:r>
      <w:r>
        <w:rPr>
          <w:rFonts w:ascii="Arial" w:cs="Arial" w:eastAsia="Arial" w:hAnsi="Arial"/>
          <w:sz w:val="17"/>
          <w:szCs w:val="17"/>
          <w:i w:val="1"/>
          <w:iCs w:val="1"/>
          <w:color w:val="auto"/>
        </w:rPr>
        <w:t>Women We Admire</w:t>
      </w:r>
      <w:r>
        <w:rPr>
          <w:rFonts w:ascii="Arial" w:cs="Arial" w:eastAsia="Arial" w:hAnsi="Arial"/>
          <w:sz w:val="17"/>
          <w:szCs w:val="17"/>
          <w:color w:val="auto"/>
        </w:rPr>
        <w:t xml:space="preserve"> in 2022, as one of 2022's Top 25 Women Leaders in Financial Technology by </w:t>
      </w:r>
      <w:r>
        <w:rPr>
          <w:rFonts w:ascii="Arial" w:cs="Arial" w:eastAsia="Arial" w:hAnsi="Arial"/>
          <w:sz w:val="17"/>
          <w:szCs w:val="17"/>
          <w:i w:val="1"/>
          <w:iCs w:val="1"/>
          <w:color w:val="auto"/>
        </w:rPr>
        <w:t>The Financial Technology Report</w:t>
      </w:r>
      <w:r>
        <w:rPr>
          <w:rFonts w:ascii="Arial" w:cs="Arial" w:eastAsia="Arial" w:hAnsi="Arial"/>
          <w:sz w:val="17"/>
          <w:szCs w:val="17"/>
          <w:color w:val="auto"/>
        </w:rPr>
        <w:t xml:space="preserve">, honored as a Woman of the Year 2022 by </w:t>
      </w:r>
      <w:r>
        <w:rPr>
          <w:rFonts w:ascii="Arial" w:cs="Arial" w:eastAsia="Arial" w:hAnsi="Arial"/>
          <w:sz w:val="17"/>
          <w:szCs w:val="17"/>
          <w:i w:val="1"/>
          <w:iCs w:val="1"/>
          <w:color w:val="auto"/>
        </w:rPr>
        <w:t>The Stevie Awards'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Women in Business </w:t>
      </w:r>
      <w:r>
        <w:rPr>
          <w:rFonts w:ascii="Arial" w:cs="Arial" w:eastAsia="Arial" w:hAnsi="Arial"/>
          <w:sz w:val="17"/>
          <w:szCs w:val="17"/>
          <w:color w:val="auto"/>
        </w:rPr>
        <w:t>and a Top 25 CMO to Watch by</w:t>
      </w:r>
      <w:r>
        <w:rPr>
          <w:rFonts w:ascii="Arial" w:cs="Arial" w:eastAsia="Arial" w:hAnsi="Arial"/>
          <w:sz w:val="17"/>
          <w:szCs w:val="17"/>
          <w:i w:val="1"/>
          <w:iCs w:val="1"/>
          <w:color w:val="auto"/>
        </w:rPr>
        <w:t xml:space="preserve"> Business Insider </w:t>
      </w:r>
      <w:r>
        <w:rPr>
          <w:rFonts w:ascii="Arial" w:cs="Arial" w:eastAsia="Arial" w:hAnsi="Arial"/>
          <w:sz w:val="17"/>
          <w:szCs w:val="17"/>
          <w:color w:val="auto"/>
        </w:rPr>
        <w:t>in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There are no arrangements or understandings between Ms. Gillin and any other persons pursuant to which she was selected as a member of the Board. 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Gillin has no direct or indirect material interest in any transaction required to be disclosed pursuant to Item 404(a) of Regulation S-K.</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Ms. Gillin will earn cash retainers for service on the Board and its committees in accordance with the Company's standard director compensation program, as described in the Company's definitive proxy statement for its 2022 annual meeting of stockholders, filed with the U.S. Securities and Exchange Commission on April 29, 2022. In addition, pursuant to the Company's standard director compensation program, Ms. Gillin will receive a restricted stock unit grant prorated for partial service during the 2022-2023 Board term, which will vest on the earliest of the Company's 2023 annual meeting of stockholders, June 30, 2023 or a change in control of the Company, with vested units to be deferred and delivered in shares of common stock upon the earlier of her separation from service or a change in control of the Company.</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her appointment, Ms. Gillin will receive the Company's standard indemnification agreement for directors. The indemnification agreement generally requires the Company to indemnify directors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comScore, Inc.</w:t>
      </w:r>
    </w:p>
    <w:p>
      <w:pPr>
        <w:spacing w:after="0" w:line="243" w:lineRule="exact"/>
        <w:rPr>
          <w:sz w:val="20"/>
          <w:szCs w:val="20"/>
          <w:color w:val="auto"/>
        </w:rPr>
      </w:pPr>
    </w:p>
    <w:tbl>
      <w:tblPr>
        <w:tblLayout w:type="fixed"/>
        <w:tblInd w:w="7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Margaret Curry</w:t>
            </w:r>
          </w:p>
        </w:tc>
      </w:tr>
      <w:tr>
        <w:trPr>
          <w:trHeight w:val="222"/>
        </w:trPr>
        <w:tc>
          <w:tcPr>
            <w:tcW w:w="5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Mary Margaret Curry</w:t>
            </w:r>
          </w:p>
        </w:tc>
      </w:tr>
      <w:tr>
        <w:trPr>
          <w:trHeight w:val="230"/>
        </w:trPr>
        <w:tc>
          <w:tcPr>
            <w:tcW w:w="5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2023-02-01T15:20:37Z</dcterms:created>
  <dcterms:modified xsi:type="dcterms:W3CDTF">2023-02-01T15:20:37Z</dcterms:modified>
</cp:coreProperties>
</file>