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2" w:lineRule="exact"/>
        <w:rPr>
          <w:sz w:val="24"/>
          <w:szCs w:val="24"/>
          <w:color w:val="auto"/>
        </w:rPr>
      </w:pPr>
    </w:p>
    <w:tbl>
      <w:tblPr>
        <w:tblLayout w:type="fixed"/>
        <w:tblInd w:w="0" w:type="dxa"/>
        <w:tblCellMar>
          <w:top w:w="0" w:type="dxa"/>
          <w:left w:w="0" w:type="dxa"/>
          <w:bottom w:w="0" w:type="dxa"/>
          <w:right w:w="0" w:type="dxa"/>
        </w:tblCellMar>
      </w:tblPr>
      <w:tr>
        <w:trPr>
          <w:trHeight w:val="569"/>
        </w:trPr>
        <w:tc>
          <w:tcPr>
            <w:tcW w:w="3200" w:type="dxa"/>
            <w:vAlign w:val="bottom"/>
          </w:tcPr>
          <w:p>
            <w:pPr>
              <w:spacing w:after="0"/>
              <w:rPr>
                <w:sz w:val="24"/>
                <w:szCs w:val="24"/>
                <w:color w:val="auto"/>
              </w:rPr>
            </w:pPr>
          </w:p>
        </w:tc>
        <w:tc>
          <w:tcPr>
            <w:tcW w:w="4980" w:type="dxa"/>
            <w:vAlign w:val="bottom"/>
          </w:tcPr>
          <w:p>
            <w:pPr>
              <w:jc w:val="center"/>
              <w:ind w:right="29"/>
              <w:spacing w:after="0"/>
              <w:rPr>
                <w:sz w:val="20"/>
                <w:szCs w:val="20"/>
                <w:color w:val="auto"/>
              </w:rPr>
            </w:pPr>
            <w:r>
              <w:rPr>
                <w:rFonts w:ascii="Times New Roman" w:cs="Times New Roman" w:eastAsia="Times New Roman" w:hAnsi="Times New Roman"/>
                <w:sz w:val="43"/>
                <w:szCs w:val="43"/>
                <w:b w:val="1"/>
                <w:bCs w:val="1"/>
                <w:color w:val="auto"/>
              </w:rPr>
              <w:t>COMSCORE, INC.</w:t>
            </w:r>
          </w:p>
        </w:tc>
        <w:tc>
          <w:tcPr>
            <w:tcW w:w="3060" w:type="dxa"/>
            <w:vAlign w:val="bottom"/>
          </w:tcPr>
          <w:p>
            <w:pPr>
              <w:spacing w:after="0"/>
              <w:rPr>
                <w:sz w:val="24"/>
                <w:szCs w:val="24"/>
                <w:color w:val="auto"/>
              </w:rPr>
            </w:pPr>
          </w:p>
        </w:tc>
      </w:tr>
      <w:tr>
        <w:trPr>
          <w:trHeight w:val="238"/>
        </w:trPr>
        <w:tc>
          <w:tcPr>
            <w:tcW w:w="3200" w:type="dxa"/>
            <w:vAlign w:val="bottom"/>
          </w:tcPr>
          <w:p>
            <w:pPr>
              <w:spacing w:after="0"/>
              <w:rPr>
                <w:sz w:val="20"/>
                <w:szCs w:val="20"/>
                <w:color w:val="auto"/>
              </w:rPr>
            </w:pPr>
          </w:p>
        </w:tc>
        <w:tc>
          <w:tcPr>
            <w:tcW w:w="49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tc>
        <w:tc>
          <w:tcPr>
            <w:tcW w:w="3060" w:type="dxa"/>
            <w:vAlign w:val="bottom"/>
          </w:tcPr>
          <w:p>
            <w:pPr>
              <w:spacing w:after="0"/>
              <w:rPr>
                <w:sz w:val="20"/>
                <w:szCs w:val="20"/>
                <w:color w:val="auto"/>
              </w:rPr>
            </w:pPr>
          </w:p>
        </w:tc>
      </w:tr>
      <w:tr>
        <w:trPr>
          <w:trHeight w:val="209"/>
        </w:trPr>
        <w:tc>
          <w:tcPr>
            <w:tcW w:w="3200" w:type="dxa"/>
            <w:vAlign w:val="bottom"/>
            <w:tcBorders>
              <w:bottom w:val="single" w:sz="8" w:color="auto"/>
            </w:tcBorders>
          </w:tcPr>
          <w:p>
            <w:pPr>
              <w:spacing w:after="0"/>
              <w:rPr>
                <w:sz w:val="18"/>
                <w:szCs w:val="18"/>
                <w:color w:val="auto"/>
              </w:rPr>
            </w:pPr>
          </w:p>
        </w:tc>
        <w:tc>
          <w:tcPr>
            <w:tcW w:w="498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spacing w:after="0"/>
              <w:rPr>
                <w:sz w:val="18"/>
                <w:szCs w:val="18"/>
                <w:color w:val="auto"/>
              </w:rPr>
            </w:pPr>
          </w:p>
        </w:tc>
      </w:tr>
      <w:tr>
        <w:trPr>
          <w:trHeight w:val="394"/>
        </w:trPr>
        <w:tc>
          <w:tcPr>
            <w:tcW w:w="3200" w:type="dxa"/>
            <w:vAlign w:val="bottom"/>
          </w:tcPr>
          <w:p>
            <w:pPr>
              <w:jc w:val="center"/>
              <w:ind w:left="4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80" w:type="dxa"/>
            <w:vAlign w:val="bottom"/>
          </w:tcPr>
          <w:p>
            <w:pPr>
              <w:jc w:val="center"/>
              <w:ind w:right="69"/>
              <w:spacing w:after="0"/>
              <w:rPr>
                <w:sz w:val="20"/>
                <w:szCs w:val="20"/>
                <w:color w:val="auto"/>
              </w:rPr>
            </w:pPr>
            <w:r>
              <w:rPr>
                <w:rFonts w:ascii="Times New Roman" w:cs="Times New Roman" w:eastAsia="Times New Roman" w:hAnsi="Times New Roman"/>
                <w:sz w:val="18"/>
                <w:szCs w:val="18"/>
                <w:b w:val="1"/>
                <w:bCs w:val="1"/>
                <w:color w:val="auto"/>
                <w:w w:val="99"/>
              </w:rPr>
              <w:t>001-33520</w:t>
            </w:r>
          </w:p>
        </w:tc>
        <w:tc>
          <w:tcPr>
            <w:tcW w:w="3060" w:type="dxa"/>
            <w:vAlign w:val="bottom"/>
          </w:tcPr>
          <w:p>
            <w:pPr>
              <w:jc w:val="center"/>
              <w:ind w:right="582"/>
              <w:spacing w:after="0"/>
              <w:rPr>
                <w:sz w:val="20"/>
                <w:szCs w:val="20"/>
                <w:color w:val="auto"/>
              </w:rPr>
            </w:pPr>
            <w:r>
              <w:rPr>
                <w:rFonts w:ascii="Times New Roman" w:cs="Times New Roman" w:eastAsia="Times New Roman" w:hAnsi="Times New Roman"/>
                <w:sz w:val="18"/>
                <w:szCs w:val="18"/>
                <w:b w:val="1"/>
                <w:bCs w:val="1"/>
                <w:color w:val="auto"/>
              </w:rPr>
              <w:t>54-1955550</w:t>
            </w:r>
          </w:p>
        </w:tc>
      </w:tr>
      <w:tr>
        <w:trPr>
          <w:trHeight w:val="146"/>
        </w:trPr>
        <w:tc>
          <w:tcPr>
            <w:tcW w:w="3200" w:type="dxa"/>
            <w:vAlign w:val="bottom"/>
          </w:tcPr>
          <w:p>
            <w:pPr>
              <w:jc w:val="center"/>
              <w:ind w:left="40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980" w:type="dxa"/>
            <w:vAlign w:val="bottom"/>
          </w:tcPr>
          <w:p>
            <w:pPr>
              <w:jc w:val="center"/>
              <w:ind w:right="89"/>
              <w:spacing w:after="0" w:line="146"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3060" w:type="dxa"/>
            <w:vAlign w:val="bottom"/>
          </w:tcPr>
          <w:p>
            <w:pPr>
              <w:jc w:val="center"/>
              <w:ind w:right="58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200" w:type="dxa"/>
            <w:vAlign w:val="bottom"/>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98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3060" w:type="dxa"/>
            <w:vAlign w:val="bottom"/>
          </w:tcPr>
          <w:p>
            <w:pPr>
              <w:jc w:val="center"/>
              <w:ind w:right="5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8"/>
        </w:trPr>
        <w:tc>
          <w:tcPr>
            <w:tcW w:w="3200" w:type="dxa"/>
            <w:vAlign w:val="bottom"/>
          </w:tcPr>
          <w:p>
            <w:pPr>
              <w:spacing w:after="0"/>
              <w:rPr>
                <w:sz w:val="24"/>
                <w:szCs w:val="24"/>
                <w:color w:val="auto"/>
              </w:rPr>
            </w:pPr>
          </w:p>
        </w:tc>
        <w:tc>
          <w:tcPr>
            <w:tcW w:w="4980" w:type="dxa"/>
            <w:vAlign w:val="bottom"/>
          </w:tcPr>
          <w:p>
            <w:pPr>
              <w:jc w:val="center"/>
              <w:ind w:right="49"/>
              <w:spacing w:after="0"/>
              <w:rPr>
                <w:sz w:val="20"/>
                <w:szCs w:val="20"/>
                <w:color w:val="auto"/>
              </w:rPr>
            </w:pPr>
            <w:r>
              <w:rPr>
                <w:rFonts w:ascii="Times New Roman" w:cs="Times New Roman" w:eastAsia="Times New Roman" w:hAnsi="Times New Roman"/>
                <w:sz w:val="18"/>
                <w:szCs w:val="18"/>
                <w:b w:val="1"/>
                <w:bCs w:val="1"/>
                <w:color w:val="auto"/>
              </w:rPr>
              <w:t>11950 Democracy Drive</w:t>
            </w:r>
          </w:p>
        </w:tc>
        <w:tc>
          <w:tcPr>
            <w:tcW w:w="3060" w:type="dxa"/>
            <w:vAlign w:val="bottom"/>
          </w:tcPr>
          <w:p>
            <w:pPr>
              <w:spacing w:after="0"/>
              <w:rPr>
                <w:sz w:val="24"/>
                <w:szCs w:val="24"/>
                <w:color w:val="auto"/>
              </w:rPr>
            </w:pPr>
          </w:p>
        </w:tc>
      </w:tr>
      <w:tr>
        <w:trPr>
          <w:trHeight w:val="216"/>
        </w:trPr>
        <w:tc>
          <w:tcPr>
            <w:tcW w:w="3200" w:type="dxa"/>
            <w:vAlign w:val="bottom"/>
          </w:tcPr>
          <w:p>
            <w:pPr>
              <w:spacing w:after="0"/>
              <w:rPr>
                <w:sz w:val="18"/>
                <w:szCs w:val="18"/>
                <w:color w:val="auto"/>
              </w:rPr>
            </w:pPr>
          </w:p>
        </w:tc>
        <w:tc>
          <w:tcPr>
            <w:tcW w:w="4980" w:type="dxa"/>
            <w:vAlign w:val="bottom"/>
          </w:tcPr>
          <w:p>
            <w:pPr>
              <w:jc w:val="center"/>
              <w:ind w:right="29"/>
              <w:spacing w:after="0"/>
              <w:rPr>
                <w:sz w:val="20"/>
                <w:szCs w:val="20"/>
                <w:color w:val="auto"/>
              </w:rPr>
            </w:pPr>
            <w:r>
              <w:rPr>
                <w:rFonts w:ascii="Times New Roman" w:cs="Times New Roman" w:eastAsia="Times New Roman" w:hAnsi="Times New Roman"/>
                <w:sz w:val="18"/>
                <w:szCs w:val="18"/>
                <w:b w:val="1"/>
                <w:bCs w:val="1"/>
                <w:color w:val="auto"/>
                <w:w w:val="99"/>
              </w:rPr>
              <w:t>Suite 600</w:t>
            </w:r>
          </w:p>
        </w:tc>
        <w:tc>
          <w:tcPr>
            <w:tcW w:w="3060" w:type="dxa"/>
            <w:vAlign w:val="bottom"/>
          </w:tcPr>
          <w:p>
            <w:pPr>
              <w:spacing w:after="0"/>
              <w:rPr>
                <w:sz w:val="18"/>
                <w:szCs w:val="18"/>
                <w:color w:val="auto"/>
              </w:rPr>
            </w:pPr>
          </w:p>
        </w:tc>
      </w:tr>
      <w:tr>
        <w:trPr>
          <w:trHeight w:val="214"/>
        </w:trPr>
        <w:tc>
          <w:tcPr>
            <w:tcW w:w="3200" w:type="dxa"/>
            <w:vAlign w:val="bottom"/>
          </w:tcPr>
          <w:p>
            <w:pPr>
              <w:spacing w:after="0"/>
              <w:rPr>
                <w:sz w:val="18"/>
                <w:szCs w:val="18"/>
                <w:color w:val="auto"/>
              </w:rPr>
            </w:pPr>
          </w:p>
        </w:tc>
        <w:tc>
          <w:tcPr>
            <w:tcW w:w="4980" w:type="dxa"/>
            <w:vAlign w:val="bottom"/>
          </w:tcPr>
          <w:p>
            <w:pPr>
              <w:jc w:val="center"/>
              <w:ind w:right="29"/>
              <w:spacing w:after="0"/>
              <w:rPr>
                <w:sz w:val="20"/>
                <w:szCs w:val="20"/>
                <w:color w:val="auto"/>
              </w:rPr>
            </w:pPr>
            <w:r>
              <w:rPr>
                <w:rFonts w:ascii="Times New Roman" w:cs="Times New Roman" w:eastAsia="Times New Roman" w:hAnsi="Times New Roman"/>
                <w:sz w:val="18"/>
                <w:szCs w:val="18"/>
                <w:b w:val="1"/>
                <w:bCs w:val="1"/>
                <w:color w:val="auto"/>
                <w:w w:val="99"/>
              </w:rPr>
              <w:t>Reston, Virginia 20190</w:t>
            </w:r>
          </w:p>
        </w:tc>
        <w:tc>
          <w:tcPr>
            <w:tcW w:w="3060" w:type="dxa"/>
            <w:vAlign w:val="bottom"/>
          </w:tcPr>
          <w:p>
            <w:pPr>
              <w:spacing w:after="0"/>
              <w:rPr>
                <w:sz w:val="18"/>
                <w:szCs w:val="18"/>
                <w:color w:val="auto"/>
              </w:rPr>
            </w:pPr>
          </w:p>
        </w:tc>
      </w:tr>
      <w:tr>
        <w:trPr>
          <w:trHeight w:val="190"/>
        </w:trPr>
        <w:tc>
          <w:tcPr>
            <w:tcW w:w="3200" w:type="dxa"/>
            <w:vAlign w:val="bottom"/>
          </w:tcPr>
          <w:p>
            <w:pPr>
              <w:spacing w:after="0"/>
              <w:rPr>
                <w:sz w:val="16"/>
                <w:szCs w:val="16"/>
                <w:color w:val="auto"/>
              </w:rPr>
            </w:pPr>
          </w:p>
        </w:tc>
        <w:tc>
          <w:tcPr>
            <w:tcW w:w="498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3060" w:type="dxa"/>
            <w:vAlign w:val="bottom"/>
          </w:tcPr>
          <w:p>
            <w:pPr>
              <w:spacing w:after="0"/>
              <w:rPr>
                <w:sz w:val="16"/>
                <w:szCs w:val="16"/>
                <w:color w:val="auto"/>
              </w:rPr>
            </w:pPr>
          </w:p>
        </w:tc>
      </w:tr>
      <w:tr>
        <w:trPr>
          <w:trHeight w:val="417"/>
        </w:trPr>
        <w:tc>
          <w:tcPr>
            <w:tcW w:w="3200" w:type="dxa"/>
            <w:vAlign w:val="bottom"/>
          </w:tcPr>
          <w:p>
            <w:pPr>
              <w:spacing w:after="0"/>
              <w:rPr>
                <w:sz w:val="24"/>
                <w:szCs w:val="24"/>
                <w:color w:val="auto"/>
              </w:rPr>
            </w:pPr>
          </w:p>
        </w:tc>
        <w:tc>
          <w:tcPr>
            <w:tcW w:w="4980" w:type="dxa"/>
            <w:vAlign w:val="bottom"/>
          </w:tcPr>
          <w:p>
            <w:pPr>
              <w:jc w:val="center"/>
              <w:ind w:right="49"/>
              <w:spacing w:after="0"/>
              <w:rPr>
                <w:sz w:val="20"/>
                <w:szCs w:val="20"/>
                <w:color w:val="auto"/>
              </w:rPr>
            </w:pPr>
            <w:r>
              <w:rPr>
                <w:rFonts w:ascii="Times New Roman" w:cs="Times New Roman" w:eastAsia="Times New Roman" w:hAnsi="Times New Roman"/>
                <w:sz w:val="18"/>
                <w:szCs w:val="18"/>
                <w:b w:val="1"/>
                <w:bCs w:val="1"/>
                <w:color w:val="auto"/>
              </w:rPr>
              <w:t>(703) 438–2000</w:t>
            </w:r>
          </w:p>
        </w:tc>
        <w:tc>
          <w:tcPr>
            <w:tcW w:w="3060" w:type="dxa"/>
            <w:vAlign w:val="bottom"/>
          </w:tcPr>
          <w:p>
            <w:pPr>
              <w:spacing w:after="0"/>
              <w:rPr>
                <w:sz w:val="24"/>
                <w:szCs w:val="24"/>
                <w:color w:val="auto"/>
              </w:rPr>
            </w:pPr>
          </w:p>
        </w:tc>
      </w:tr>
      <w:tr>
        <w:trPr>
          <w:trHeight w:val="190"/>
        </w:trPr>
        <w:tc>
          <w:tcPr>
            <w:tcW w:w="3200" w:type="dxa"/>
            <w:vAlign w:val="bottom"/>
          </w:tcPr>
          <w:p>
            <w:pPr>
              <w:spacing w:after="0"/>
              <w:rPr>
                <w:sz w:val="16"/>
                <w:szCs w:val="16"/>
                <w:color w:val="auto"/>
              </w:rPr>
            </w:pPr>
          </w:p>
        </w:tc>
        <w:tc>
          <w:tcPr>
            <w:tcW w:w="498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060" w:type="dxa"/>
            <w:vAlign w:val="bottom"/>
          </w:tcPr>
          <w:p>
            <w:pPr>
              <w:spacing w:after="0"/>
              <w:rPr>
                <w:sz w:val="16"/>
                <w:szCs w:val="16"/>
                <w:color w:val="auto"/>
              </w:rPr>
            </w:pPr>
          </w:p>
        </w:tc>
      </w:tr>
      <w:tr>
        <w:trPr>
          <w:trHeight w:val="377"/>
        </w:trPr>
        <w:tc>
          <w:tcPr>
            <w:tcW w:w="3200" w:type="dxa"/>
            <w:vAlign w:val="bottom"/>
          </w:tcPr>
          <w:p>
            <w:pPr>
              <w:spacing w:after="0"/>
              <w:rPr>
                <w:sz w:val="24"/>
                <w:szCs w:val="24"/>
                <w:color w:val="auto"/>
              </w:rPr>
            </w:pPr>
          </w:p>
        </w:tc>
        <w:tc>
          <w:tcPr>
            <w:tcW w:w="498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N/A</w:t>
            </w:r>
          </w:p>
        </w:tc>
        <w:tc>
          <w:tcPr>
            <w:tcW w:w="3060" w:type="dxa"/>
            <w:vAlign w:val="bottom"/>
          </w:tcPr>
          <w:p>
            <w:pPr>
              <w:spacing w:after="0"/>
              <w:rPr>
                <w:sz w:val="24"/>
                <w:szCs w:val="24"/>
                <w:color w:val="auto"/>
              </w:rPr>
            </w:pPr>
          </w:p>
        </w:tc>
      </w:tr>
      <w:tr>
        <w:trPr>
          <w:trHeight w:val="190"/>
        </w:trPr>
        <w:tc>
          <w:tcPr>
            <w:tcW w:w="3200" w:type="dxa"/>
            <w:vAlign w:val="bottom"/>
          </w:tcPr>
          <w:p>
            <w:pPr>
              <w:spacing w:after="0"/>
              <w:rPr>
                <w:sz w:val="16"/>
                <w:szCs w:val="16"/>
                <w:color w:val="auto"/>
              </w:rPr>
            </w:pPr>
          </w:p>
        </w:tc>
        <w:tc>
          <w:tcPr>
            <w:tcW w:w="498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3060" w:type="dxa"/>
            <w:vAlign w:val="bottom"/>
          </w:tcPr>
          <w:p>
            <w:pPr>
              <w:spacing w:after="0"/>
              <w:rPr>
                <w:sz w:val="16"/>
                <w:szCs w:val="16"/>
                <w:color w:val="auto"/>
              </w:rPr>
            </w:pPr>
          </w:p>
        </w:tc>
      </w:tr>
      <w:tr>
        <w:trPr>
          <w:trHeight w:val="206"/>
        </w:trPr>
        <w:tc>
          <w:tcPr>
            <w:tcW w:w="3200" w:type="dxa"/>
            <w:vAlign w:val="bottom"/>
            <w:tcBorders>
              <w:bottom w:val="single" w:sz="8" w:color="auto"/>
            </w:tcBorders>
          </w:tcPr>
          <w:p>
            <w:pPr>
              <w:spacing w:after="0"/>
              <w:rPr>
                <w:sz w:val="17"/>
                <w:szCs w:val="17"/>
                <w:color w:val="auto"/>
              </w:rPr>
            </w:pPr>
          </w:p>
        </w:tc>
        <w:tc>
          <w:tcPr>
            <w:tcW w:w="498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tcPr>
          <w:p>
            <w:pPr>
              <w:spacing w:after="0"/>
              <w:rPr>
                <w:sz w:val="17"/>
                <w:szCs w:val="17"/>
                <w:color w:val="auto"/>
              </w:rPr>
            </w:pPr>
          </w:p>
        </w:tc>
      </w:tr>
    </w:tbl>
    <w:p>
      <w:pPr>
        <w:spacing w:after="0" w:line="198"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Title of Each Class</w:t>
            </w:r>
          </w:p>
        </w:tc>
        <w:tc>
          <w:tcPr>
            <w:tcW w:w="2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Trading Symbol</w:t>
            </w:r>
          </w:p>
        </w:tc>
        <w:tc>
          <w:tcPr>
            <w:tcW w:w="4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3"/>
        </w:trPr>
        <w:tc>
          <w:tcPr>
            <w:tcW w:w="4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r>
      <w:tr>
        <w:trPr>
          <w:trHeight w:val="204"/>
        </w:trPr>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80" w:type="dxa"/>
            <w:vAlign w:val="bottom"/>
          </w:tcPr>
          <w:p>
            <w:pPr>
              <w:spacing w:after="0"/>
              <w:rPr>
                <w:sz w:val="17"/>
                <w:szCs w:val="17"/>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SCOR</w:t>
            </w:r>
          </w:p>
        </w:tc>
        <w:tc>
          <w:tcPr>
            <w:tcW w:w="80" w:type="dxa"/>
            <w:vAlign w:val="bottom"/>
          </w:tcPr>
          <w:p>
            <w:pPr>
              <w:spacing w:after="0"/>
              <w:rPr>
                <w:sz w:val="17"/>
                <w:szCs w:val="17"/>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203"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type w:val="continuous"/>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previously disclosed, the Board of Directors of comScore, Inc. (the "Company") previously approved, subject to stockholder approval, an amendment to the Company's Amended and Restated 2018 Equity and Incentive Compensation Plan (the "Plan") to increase the number of shares of Company common stock available for grant under the Plan by 3,000,000. The Company's stockholders approved the amendment at the Company's annual meeting of stockholders on June 16, 2026 (the "Annual Meeting"), and the amendment became effective on June 16, 2026. A detailed description of the material terms of the Plan, as amended, appears under the caption "Proposal No. 4 – Approval of an Amendment to the comScore, Inc. 2018 Equity and Incentive Compensation Plan (as Amended and Restated Effective as of July 9, 2020)" in the Company's proxy statement filed with the Securities and Exchange Commission on April 30, 2026, which description is incorporated herein by reference.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Annual Meeting was held on June 16, 2026. The final results of voting on the proposals submitted to a vote of the Company's stockholders at the Annual Meeting are set forth below. These results include votes cast by holders of the Company's common stock and preferred stock on an as-converted basis and reflect neutral voting on all proposals with respect to 8,795,201 shares of Series C Preferred Stock, as required by the Certificate of Designations governing the Series C Preferred Stock.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No. 1</w:t>
      </w:r>
    </w:p>
    <w:p>
      <w:pPr>
        <w:spacing w:after="0" w:line="254"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color w:val="auto"/>
        </w:rPr>
        <w:t>Two Class I directors were elected to serve for terms expiring at the Company's 2029 annual meeting of stockholders, to hold office until their respective successors have been duly elected and qualified. The election results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2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r>
      <w:tr>
        <w:trPr>
          <w:trHeight w:val="230"/>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Kline</w:t>
            </w:r>
          </w:p>
        </w:tc>
        <w:tc>
          <w:tcPr>
            <w:tcW w:w="8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22,904,154</w:t>
            </w:r>
          </w:p>
        </w:tc>
        <w:tc>
          <w:tcPr>
            <w:tcW w:w="10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926,060</w:t>
            </w:r>
          </w:p>
        </w:tc>
        <w:tc>
          <w:tcPr>
            <w:tcW w:w="80" w:type="dxa"/>
            <w:vAlign w:val="bottom"/>
            <w:tcBorders>
              <w:bottom w:val="single" w:sz="8" w:color="CCEEFF"/>
            </w:tcBorders>
            <w:shd w:val="clear" w:color="auto" w:fill="CCEEFF"/>
          </w:tcPr>
          <w:p>
            <w:pPr>
              <w:spacing w:after="0"/>
              <w:rPr>
                <w:sz w:val="20"/>
                <w:szCs w:val="20"/>
                <w:color w:val="auto"/>
              </w:rPr>
            </w:pPr>
          </w:p>
        </w:tc>
        <w:tc>
          <w:tcPr>
            <w:tcW w:w="2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1,240,084</w:t>
            </w:r>
          </w:p>
        </w:tc>
      </w:tr>
      <w:tr>
        <w:trPr>
          <w:trHeight w:val="234"/>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Brian Wendling</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22,574,634</w:t>
            </w:r>
          </w:p>
        </w:tc>
        <w:tc>
          <w:tcPr>
            <w:tcW w:w="100" w:type="dxa"/>
            <w:vAlign w:val="bottom"/>
          </w:tcPr>
          <w:p>
            <w:pPr>
              <w:spacing w:after="0"/>
              <w:rPr>
                <w:sz w:val="20"/>
                <w:szCs w:val="20"/>
                <w:color w:val="auto"/>
              </w:rPr>
            </w:pPr>
          </w:p>
        </w:tc>
        <w:tc>
          <w:tcPr>
            <w:tcW w:w="27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1,255,580</w:t>
            </w:r>
          </w:p>
        </w:tc>
        <w:tc>
          <w:tcPr>
            <w:tcW w:w="8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1,240,084</w:t>
            </w:r>
          </w:p>
        </w:tc>
      </w:tr>
    </w:tbl>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No. 2</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of the Company's named executive officers was approved, on a non-binding advisory basis,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4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r>
      <w:tr>
        <w:trPr>
          <w:trHeight w:val="228"/>
        </w:trPr>
        <w:tc>
          <w:tcPr>
            <w:tcW w:w="274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23,119,135</w:t>
            </w:r>
          </w:p>
        </w:tc>
        <w:tc>
          <w:tcPr>
            <w:tcW w:w="80" w:type="dxa"/>
            <w:vAlign w:val="bottom"/>
            <w:shd w:val="clear" w:color="auto" w:fill="CCEEFF"/>
          </w:tcPr>
          <w:p>
            <w:pPr>
              <w:spacing w:after="0"/>
              <w:rPr>
                <w:sz w:val="19"/>
                <w:szCs w:val="19"/>
                <w:color w:val="auto"/>
              </w:rPr>
            </w:pPr>
          </w:p>
        </w:tc>
        <w:tc>
          <w:tcPr>
            <w:tcW w:w="27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659,092</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51,987</w:t>
            </w:r>
          </w:p>
        </w:tc>
        <w:tc>
          <w:tcPr>
            <w:tcW w:w="80" w:type="dxa"/>
            <w:vAlign w:val="bottom"/>
            <w:shd w:val="clear" w:color="auto" w:fill="CCEEFF"/>
          </w:tcPr>
          <w:p>
            <w:pPr>
              <w:spacing w:after="0"/>
              <w:rPr>
                <w:sz w:val="19"/>
                <w:szCs w:val="19"/>
                <w:color w:val="auto"/>
              </w:rPr>
            </w:pPr>
          </w:p>
        </w:tc>
        <w:tc>
          <w:tcPr>
            <w:tcW w:w="276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1,240,084</w:t>
            </w:r>
          </w:p>
        </w:tc>
      </w:tr>
      <w:tr>
        <w:trPr>
          <w:trHeight w:val="22"/>
        </w:trPr>
        <w:tc>
          <w:tcPr>
            <w:tcW w:w="2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760" w:type="dxa"/>
            <w:vAlign w:val="bottom"/>
            <w:shd w:val="clear" w:color="auto" w:fill="CCEEFF"/>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No. 3</w:t>
      </w:r>
    </w:p>
    <w:p>
      <w:pPr>
        <w:spacing w:after="0" w:line="254"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color w:val="auto"/>
        </w:rPr>
        <w:t>The appointment of Deloitte &amp; Touche LLP as the Company's independent registered public accounting firm for the fiscal year ending December 31, 2026 was ratified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r>
      <w:tr>
        <w:trPr>
          <w:trHeight w:val="228"/>
        </w:trPr>
        <w:tc>
          <w:tcPr>
            <w:tcW w:w="274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25,048,171</w:t>
            </w:r>
          </w:p>
        </w:tc>
        <w:tc>
          <w:tcPr>
            <w:tcW w:w="80" w:type="dxa"/>
            <w:vAlign w:val="bottom"/>
            <w:shd w:val="clear" w:color="auto" w:fill="CCEEFF"/>
          </w:tcPr>
          <w:p>
            <w:pPr>
              <w:spacing w:after="0"/>
              <w:rPr>
                <w:sz w:val="19"/>
                <w:szCs w:val="19"/>
                <w:color w:val="auto"/>
              </w:rPr>
            </w:pPr>
          </w:p>
        </w:tc>
        <w:tc>
          <w:tcPr>
            <w:tcW w:w="274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18,634</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3,493</w:t>
            </w:r>
          </w:p>
        </w:tc>
        <w:tc>
          <w:tcPr>
            <w:tcW w:w="80" w:type="dxa"/>
            <w:vAlign w:val="bottom"/>
            <w:shd w:val="clear" w:color="auto" w:fill="CCEEFF"/>
          </w:tcPr>
          <w:p>
            <w:pPr>
              <w:spacing w:after="0"/>
              <w:rPr>
                <w:sz w:val="19"/>
                <w:szCs w:val="19"/>
                <w:color w:val="auto"/>
              </w:rPr>
            </w:pPr>
          </w:p>
        </w:tc>
        <w:tc>
          <w:tcPr>
            <w:tcW w:w="276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0</w:t>
            </w:r>
          </w:p>
        </w:tc>
      </w:tr>
      <w:tr>
        <w:trPr>
          <w:trHeight w:val="22"/>
        </w:trPr>
        <w:tc>
          <w:tcPr>
            <w:tcW w:w="2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760" w:type="dxa"/>
            <w:vAlign w:val="bottom"/>
            <w:shd w:val="clear" w:color="auto" w:fill="CCEEFF"/>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No. 4</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amendment to the Plan was approved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82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r>
      <w:tr>
        <w:trPr>
          <w:trHeight w:val="228"/>
        </w:trPr>
        <w:tc>
          <w:tcPr>
            <w:tcW w:w="274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19,593,512</w:t>
            </w:r>
          </w:p>
        </w:tc>
        <w:tc>
          <w:tcPr>
            <w:tcW w:w="80" w:type="dxa"/>
            <w:vAlign w:val="bottom"/>
            <w:shd w:val="clear" w:color="auto" w:fill="CCEEFF"/>
          </w:tcPr>
          <w:p>
            <w:pPr>
              <w:spacing w:after="0"/>
              <w:rPr>
                <w:sz w:val="19"/>
                <w:szCs w:val="19"/>
                <w:color w:val="auto"/>
              </w:rPr>
            </w:pPr>
          </w:p>
        </w:tc>
        <w:tc>
          <w:tcPr>
            <w:tcW w:w="27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4,117,350</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119,352</w:t>
            </w:r>
          </w:p>
        </w:tc>
        <w:tc>
          <w:tcPr>
            <w:tcW w:w="80" w:type="dxa"/>
            <w:vAlign w:val="bottom"/>
            <w:shd w:val="clear" w:color="auto" w:fill="CCEEFF"/>
          </w:tcPr>
          <w:p>
            <w:pPr>
              <w:spacing w:after="0"/>
              <w:rPr>
                <w:sz w:val="19"/>
                <w:szCs w:val="19"/>
                <w:color w:val="auto"/>
              </w:rPr>
            </w:pPr>
          </w:p>
        </w:tc>
        <w:tc>
          <w:tcPr>
            <w:tcW w:w="276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1,240,084</w:t>
            </w:r>
          </w:p>
        </w:tc>
      </w:tr>
      <w:tr>
        <w:trPr>
          <w:trHeight w:val="22"/>
        </w:trPr>
        <w:tc>
          <w:tcPr>
            <w:tcW w:w="2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76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comScore, Inc.</w:t>
      </w:r>
    </w:p>
    <w:p>
      <w:pPr>
        <w:spacing w:after="0" w:line="243" w:lineRule="exact"/>
        <w:rPr>
          <w:sz w:val="20"/>
          <w:szCs w:val="20"/>
          <w:color w:val="auto"/>
        </w:rPr>
      </w:pPr>
    </w:p>
    <w:tbl>
      <w:tblPr>
        <w:tblLayout w:type="fixed"/>
        <w:tblInd w:w="720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Mary Margaret Curry</w:t>
            </w:r>
          </w:p>
        </w:tc>
      </w:tr>
      <w:tr>
        <w:trPr>
          <w:trHeight w:val="218"/>
        </w:trPr>
        <w:tc>
          <w:tcPr>
            <w:tcW w:w="56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 Margaret Curry</w:t>
            </w:r>
          </w:p>
        </w:tc>
      </w:tr>
      <w:tr>
        <w:trPr>
          <w:trHeight w:val="234"/>
        </w:trPr>
        <w:tc>
          <w:tcPr>
            <w:tcW w:w="560" w:type="dxa"/>
            <w:vAlign w:val="bottom"/>
          </w:tcPr>
          <w:p>
            <w:pPr>
              <w:spacing w:after="0"/>
              <w:rPr>
                <w:sz w:val="20"/>
                <w:szCs w:val="20"/>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22, 2026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2026-06-23T05:23:25Z</dcterms:created>
  <dcterms:modified xsi:type="dcterms:W3CDTF">2026-06-23T05:23:25Z</dcterms:modified>
</cp:coreProperties>
</file>