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233680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219710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comScore,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1000" w:type="dxa"/>
        <w:tblCellMar>
          <w:top w:w="0" w:type="dxa"/>
          <w:left w:w="0" w:type="dxa"/>
          <w:bottom w:w="0" w:type="dxa"/>
          <w:right w:w="0" w:type="dxa"/>
        </w:tblCellMar>
      </w:tblPr>
      <w:tr>
        <w:trPr>
          <w:trHeight w:val="214"/>
        </w:trPr>
        <w:tc>
          <w:tcPr>
            <w:tcW w:w="2260" w:type="dxa"/>
            <w:vAlign w:val="bottom"/>
          </w:tcPr>
          <w:p>
            <w:pPr>
              <w:jc w:val="center"/>
              <w:ind w:right="4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2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001-33520</w:t>
            </w:r>
          </w:p>
        </w:tc>
        <w:tc>
          <w:tcPr>
            <w:tcW w:w="2100" w:type="dxa"/>
            <w:vAlign w:val="bottom"/>
          </w:tcPr>
          <w:p>
            <w:pPr>
              <w:jc w:val="center"/>
              <w:ind w:left="582"/>
              <w:spacing w:after="0"/>
              <w:rPr>
                <w:sz w:val="20"/>
                <w:szCs w:val="20"/>
                <w:color w:val="auto"/>
              </w:rPr>
            </w:pPr>
            <w:r>
              <w:rPr>
                <w:rFonts w:ascii="Times New Roman" w:cs="Times New Roman" w:eastAsia="Times New Roman" w:hAnsi="Times New Roman"/>
                <w:sz w:val="18"/>
                <w:szCs w:val="18"/>
                <w:b w:val="1"/>
                <w:bCs w:val="1"/>
                <w:color w:val="auto"/>
              </w:rPr>
              <w:t>54-1955550</w:t>
            </w:r>
          </w:p>
        </w:tc>
      </w:tr>
      <w:tr>
        <w:trPr>
          <w:trHeight w:val="149"/>
        </w:trPr>
        <w:tc>
          <w:tcPr>
            <w:tcW w:w="2260" w:type="dxa"/>
            <w:vAlign w:val="bottom"/>
          </w:tcPr>
          <w:p>
            <w:pPr>
              <w:jc w:val="center"/>
              <w:ind w:right="4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620" w:type="dxa"/>
            <w:vAlign w:val="bottom"/>
          </w:tcPr>
          <w:p>
            <w:pPr>
              <w:ind w:left="19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100" w:type="dxa"/>
            <w:vAlign w:val="bottom"/>
          </w:tcPr>
          <w:p>
            <w:pPr>
              <w:jc w:val="center"/>
              <w:ind w:left="5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60" w:type="dxa"/>
            <w:vAlign w:val="bottom"/>
          </w:tcPr>
          <w:p>
            <w:pPr>
              <w:jc w:val="center"/>
              <w:ind w:right="4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62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100" w:type="dxa"/>
            <w:vAlign w:val="bottom"/>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93"/>
        </w:trPr>
        <w:tc>
          <w:tcPr>
            <w:tcW w:w="2260" w:type="dxa"/>
            <w:vAlign w:val="bottom"/>
          </w:tcPr>
          <w:p>
            <w:pPr>
              <w:spacing w:after="0"/>
              <w:rPr>
                <w:sz w:val="24"/>
                <w:szCs w:val="24"/>
                <w:color w:val="auto"/>
              </w:rPr>
            </w:pPr>
          </w:p>
        </w:tc>
        <w:tc>
          <w:tcPr>
            <w:tcW w:w="46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8"/>
              </w:rPr>
              <w:t>11950 Democracy Drive</w:t>
            </w:r>
          </w:p>
        </w:tc>
        <w:tc>
          <w:tcPr>
            <w:tcW w:w="210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46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Suite 600</w:t>
            </w:r>
          </w:p>
        </w:tc>
        <w:tc>
          <w:tcPr>
            <w:tcW w:w="2100" w:type="dxa"/>
            <w:vAlign w:val="bottom"/>
          </w:tcPr>
          <w:p>
            <w:pPr>
              <w:spacing w:after="0"/>
              <w:rPr>
                <w:sz w:val="18"/>
                <w:szCs w:val="18"/>
                <w:color w:val="auto"/>
              </w:rPr>
            </w:pPr>
          </w:p>
        </w:tc>
      </w:tr>
      <w:tr>
        <w:trPr>
          <w:trHeight w:val="214"/>
        </w:trPr>
        <w:tc>
          <w:tcPr>
            <w:tcW w:w="2260" w:type="dxa"/>
            <w:vAlign w:val="bottom"/>
          </w:tcPr>
          <w:p>
            <w:pPr>
              <w:spacing w:after="0"/>
              <w:rPr>
                <w:sz w:val="18"/>
                <w:szCs w:val="18"/>
                <w:color w:val="auto"/>
              </w:rPr>
            </w:pPr>
          </w:p>
        </w:tc>
        <w:tc>
          <w:tcPr>
            <w:tcW w:w="46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Reston, Virginia 20190</w:t>
            </w:r>
          </w:p>
        </w:tc>
        <w:tc>
          <w:tcPr>
            <w:tcW w:w="2100" w:type="dxa"/>
            <w:vAlign w:val="bottom"/>
          </w:tcPr>
          <w:p>
            <w:pPr>
              <w:spacing w:after="0"/>
              <w:rPr>
                <w:sz w:val="18"/>
                <w:szCs w:val="18"/>
                <w:color w:val="auto"/>
              </w:rPr>
            </w:pPr>
          </w:p>
        </w:tc>
      </w:tr>
      <w:tr>
        <w:trPr>
          <w:trHeight w:val="149"/>
        </w:trPr>
        <w:tc>
          <w:tcPr>
            <w:tcW w:w="2260" w:type="dxa"/>
            <w:vAlign w:val="bottom"/>
          </w:tcPr>
          <w:p>
            <w:pPr>
              <w:spacing w:after="0"/>
              <w:rPr>
                <w:sz w:val="12"/>
                <w:szCs w:val="12"/>
                <w:color w:val="auto"/>
              </w:rPr>
            </w:pPr>
          </w:p>
        </w:tc>
        <w:tc>
          <w:tcPr>
            <w:tcW w:w="46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100" w:type="dxa"/>
            <w:vAlign w:val="bottom"/>
          </w:tcPr>
          <w:p>
            <w:pPr>
              <w:spacing w:after="0"/>
              <w:rPr>
                <w:sz w:val="12"/>
                <w:szCs w:val="12"/>
                <w:color w:val="auto"/>
              </w:rPr>
            </w:pPr>
          </w:p>
        </w:tc>
      </w:tr>
      <w:tr>
        <w:trPr>
          <w:trHeight w:val="190"/>
        </w:trPr>
        <w:tc>
          <w:tcPr>
            <w:tcW w:w="2260" w:type="dxa"/>
            <w:vAlign w:val="bottom"/>
          </w:tcPr>
          <w:p>
            <w:pPr>
              <w:spacing w:after="0"/>
              <w:rPr>
                <w:sz w:val="16"/>
                <w:szCs w:val="16"/>
                <w:color w:val="auto"/>
              </w:rPr>
            </w:pPr>
          </w:p>
        </w:tc>
        <w:tc>
          <w:tcPr>
            <w:tcW w:w="46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2100" w:type="dxa"/>
            <w:vAlign w:val="bottom"/>
          </w:tcPr>
          <w:p>
            <w:pPr>
              <w:spacing w:after="0"/>
              <w:rPr>
                <w:sz w:val="16"/>
                <w:szCs w:val="16"/>
                <w:color w:val="auto"/>
              </w:rPr>
            </w:pPr>
          </w:p>
        </w:tc>
      </w:tr>
      <w:tr>
        <w:trPr>
          <w:trHeight w:val="390"/>
        </w:trPr>
        <w:tc>
          <w:tcPr>
            <w:tcW w:w="2260" w:type="dxa"/>
            <w:vAlign w:val="bottom"/>
          </w:tcPr>
          <w:p>
            <w:pPr>
              <w:spacing w:after="0"/>
              <w:rPr>
                <w:sz w:val="24"/>
                <w:szCs w:val="24"/>
                <w:color w:val="auto"/>
              </w:rPr>
            </w:pPr>
          </w:p>
        </w:tc>
        <w:tc>
          <w:tcPr>
            <w:tcW w:w="462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(703) 438-2000</w:t>
            </w:r>
          </w:p>
        </w:tc>
        <w:tc>
          <w:tcPr>
            <w:tcW w:w="2100" w:type="dxa"/>
            <w:vAlign w:val="bottom"/>
          </w:tcPr>
          <w:p>
            <w:pPr>
              <w:spacing w:after="0"/>
              <w:rPr>
                <w:sz w:val="24"/>
                <w:szCs w:val="24"/>
                <w:color w:val="auto"/>
              </w:rPr>
            </w:pPr>
          </w:p>
        </w:tc>
      </w:tr>
      <w:tr>
        <w:trPr>
          <w:trHeight w:val="190"/>
        </w:trPr>
        <w:tc>
          <w:tcPr>
            <w:tcW w:w="2260" w:type="dxa"/>
            <w:vAlign w:val="bottom"/>
          </w:tcPr>
          <w:p>
            <w:pPr>
              <w:spacing w:after="0"/>
              <w:rPr>
                <w:sz w:val="16"/>
                <w:szCs w:val="16"/>
                <w:color w:val="auto"/>
              </w:rPr>
            </w:pPr>
          </w:p>
        </w:tc>
        <w:tc>
          <w:tcPr>
            <w:tcW w:w="46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1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194945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 w:type="dxa"/>
            <w:vAlign w:val="bottom"/>
          </w:tcPr>
          <w:p>
            <w:pPr>
              <w:spacing w:after="0"/>
              <w:rPr>
                <w:sz w:val="13"/>
                <w:szCs w:val="13"/>
                <w:color w:val="auto"/>
              </w:rPr>
            </w:pPr>
          </w:p>
        </w:tc>
        <w:tc>
          <w:tcPr>
            <w:tcW w:w="362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370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36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100" w:type="dxa"/>
            <w:vAlign w:val="bottom"/>
          </w:tcPr>
          <w:p>
            <w:pPr>
              <w:spacing w:after="0"/>
              <w:rPr>
                <w:sz w:val="15"/>
                <w:szCs w:val="15"/>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tc>
        <w:tc>
          <w:tcPr>
            <w:tcW w:w="60" w:type="dxa"/>
            <w:vAlign w:val="bottom"/>
          </w:tcPr>
          <w:p>
            <w:pPr>
              <w:spacing w:after="0"/>
              <w:rPr>
                <w:sz w:val="20"/>
                <w:szCs w:val="20"/>
                <w:color w:val="auto"/>
              </w:rPr>
            </w:pPr>
          </w:p>
        </w:tc>
        <w:tc>
          <w:tcPr>
            <w:tcW w:w="362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SCOR</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35" w:right="41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On August 12, 2019, Paul Reilly, then a Class I member of the Board of Directors (the “Board”) of comScore, Inc. (the “Company”), the Chair of the Audit Committee of the Board and a member of the Compensation Committee of the Board, notified the Company of his resignation as director, effective immediately. Mr. Reilly sent an email to the Chairman of the Board regarding his resignation, a copy of which is attached hereto as Exhibit 17.1, and indicating that he does not believe the Company’s operating strategy is progressing fast enough, specifically in innovation and product development.</w:t>
      </w:r>
    </w:p>
    <w:p>
      <w:pPr>
        <w:spacing w:after="0" w:line="184"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The Company has provided Mr. Reilly with a copy of the foregoing disclosure and provided him the opportunity to furnish the Company as promptly as possible with a letter stating whether he agrees with the statements made by the Company in response to this Item and, if not, stating the respects in which he does not agree.</w:t>
      </w:r>
    </w:p>
    <w:p>
      <w:pPr>
        <w:spacing w:after="0" w:line="2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r>
        <w:rPr>
          <w:rFonts w:ascii="Times New Roman" w:cs="Times New Roman" w:eastAsia="Times New Roman" w:hAnsi="Times New Roman"/>
          <w:sz w:val="18"/>
          <w:szCs w:val="18"/>
          <w:b w:val="1"/>
          <w:bCs w:val="1"/>
          <w:i w:val="1"/>
          <w:iCs w:val="1"/>
          <w:color w:val="auto"/>
        </w:rPr>
        <w:t>.</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11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380" w:type="dxa"/>
            <w:vAlign w:val="bottom"/>
          </w:tcPr>
          <w:p>
            <w:pPr>
              <w:spacing w:after="0"/>
              <w:rPr>
                <w:sz w:val="13"/>
                <w:szCs w:val="13"/>
                <w:color w:val="auto"/>
              </w:rPr>
            </w:pPr>
          </w:p>
        </w:tc>
        <w:tc>
          <w:tcPr>
            <w:tcW w:w="6180" w:type="dxa"/>
            <w:vAlign w:val="bottom"/>
            <w:gridSpan w:val="3"/>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6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17.1</w:t>
            </w:r>
          </w:p>
        </w:tc>
        <w:tc>
          <w:tcPr>
            <w:tcW w:w="620" w:type="dxa"/>
            <w:vAlign w:val="bottom"/>
          </w:tcPr>
          <w:p>
            <w:pPr>
              <w:spacing w:after="0"/>
              <w:rPr>
                <w:sz w:val="24"/>
                <w:szCs w:val="24"/>
                <w:color w:val="auto"/>
              </w:rPr>
            </w:pPr>
          </w:p>
        </w:tc>
        <w:tc>
          <w:tcPr>
            <w:tcW w:w="338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Email from Paul Reilly, dated August 12, 2019</w:t>
              </w:r>
            </w:hyperlink>
          </w:p>
        </w:tc>
        <w:tc>
          <w:tcPr>
            <w:tcW w:w="6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95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24"/>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9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9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9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9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460" w:right="1680" w:hanging="5402"/>
        <w:spacing w:after="0" w:line="485" w:lineRule="auto"/>
        <w:tabs>
          <w:tab w:leader="none" w:pos="1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iXBRL tags are embedded within the Inline XBRL document 1</w:t>
      </w:r>
    </w:p>
    <w:p>
      <w:pPr>
        <w:sectPr>
          <w:pgSz w:w="11900" w:h="16838" w:orient="portrait"/>
          <w:cols w:equalWidth="0" w:num="1">
            <w:col w:w="10940"/>
          </w:cols>
          <w:pgMar w:left="440" w:top="293" w:right="51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COMSCORE,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Carol A. DiBattiste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17145</wp:posOffset>
            </wp:positionV>
            <wp:extent cx="25641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Carol A. DiBattiste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General Counsel &amp; Chief Compliance, Privacy and</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People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14, 2019</w:t>
      </w:r>
    </w:p>
    <w:p>
      <w:pPr>
        <w:spacing w:after="0" w:line="1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80"/>
          </w:cols>
          <w:pgMar w:left="440" w:top="293" w:right="7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17.1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Comscore,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11950 Democracy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Reston, Virginia 20190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Brent Rosenthal, Non-Executive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 hereby resign as a member of the Board of Directors of Comscore, Inc. (the “Company”) effective immediately. I do not believe the Company’s go forward operating strategy, in general, is progressing fast enough and specifically in innovation and product development.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J. Reilly</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2019-12-28T06:58:26Z</dcterms:created>
  <dcterms:modified xsi:type="dcterms:W3CDTF">2019-12-28T06:58:26Z</dcterms:modified>
</cp:coreProperties>
</file>