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569"/>
        </w:trPr>
        <w:tc>
          <w:tcPr>
            <w:tcW w:w="3200" w:type="dxa"/>
            <w:vAlign w:val="bottom"/>
          </w:tcPr>
          <w:p>
            <w:pPr>
              <w:spacing w:after="0"/>
              <w:rPr>
                <w:sz w:val="24"/>
                <w:szCs w:val="24"/>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43"/>
                <w:szCs w:val="43"/>
                <w:b w:val="1"/>
                <w:bCs w:val="1"/>
                <w:color w:val="auto"/>
              </w:rPr>
              <w:t>COMSCORE, INC.</w:t>
            </w:r>
          </w:p>
        </w:tc>
        <w:tc>
          <w:tcPr>
            <w:tcW w:w="3060" w:type="dxa"/>
            <w:vAlign w:val="bottom"/>
          </w:tcPr>
          <w:p>
            <w:pPr>
              <w:spacing w:after="0"/>
              <w:rPr>
                <w:sz w:val="24"/>
                <w:szCs w:val="24"/>
                <w:color w:val="auto"/>
              </w:rPr>
            </w:pPr>
          </w:p>
        </w:tc>
      </w:tr>
      <w:tr>
        <w:trPr>
          <w:trHeight w:val="238"/>
        </w:trPr>
        <w:tc>
          <w:tcPr>
            <w:tcW w:w="3200" w:type="dxa"/>
            <w:vAlign w:val="bottom"/>
          </w:tcPr>
          <w:p>
            <w:pPr>
              <w:spacing w:after="0"/>
              <w:rPr>
                <w:sz w:val="20"/>
                <w:szCs w:val="20"/>
                <w:color w:val="auto"/>
              </w:rPr>
            </w:pPr>
          </w:p>
        </w:tc>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c>
          <w:tcPr>
            <w:tcW w:w="3060" w:type="dxa"/>
            <w:vAlign w:val="bottom"/>
          </w:tcPr>
          <w:p>
            <w:pPr>
              <w:spacing w:after="0"/>
              <w:rPr>
                <w:sz w:val="20"/>
                <w:szCs w:val="20"/>
                <w:color w:val="auto"/>
              </w:rPr>
            </w:pPr>
          </w:p>
        </w:tc>
      </w:tr>
      <w:tr>
        <w:trPr>
          <w:trHeight w:val="209"/>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394"/>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8"/>
                <w:szCs w:val="18"/>
                <w:b w:val="1"/>
                <w:bCs w:val="1"/>
                <w:color w:val="auto"/>
                <w:w w:val="99"/>
              </w:rPr>
              <w:t>001-33520</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8"/>
                <w:szCs w:val="18"/>
                <w:b w:val="1"/>
                <w:bCs w:val="1"/>
                <w:color w:val="auto"/>
              </w:rPr>
              <w:t>54-1955550</w:t>
            </w:r>
          </w:p>
        </w:tc>
      </w:tr>
      <w:tr>
        <w:trPr>
          <w:trHeight w:val="146"/>
        </w:trPr>
        <w:tc>
          <w:tcPr>
            <w:tcW w:w="3200" w:type="dxa"/>
            <w:vAlign w:val="bottom"/>
          </w:tcPr>
          <w:p>
            <w:pPr>
              <w:jc w:val="center"/>
              <w:ind w:left="40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58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8"/>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11950 Democracy Drive</w:t>
            </w:r>
          </w:p>
        </w:tc>
        <w:tc>
          <w:tcPr>
            <w:tcW w:w="306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Suite 600</w:t>
            </w:r>
          </w:p>
        </w:tc>
        <w:tc>
          <w:tcPr>
            <w:tcW w:w="3060" w:type="dxa"/>
            <w:vAlign w:val="bottom"/>
          </w:tcPr>
          <w:p>
            <w:pPr>
              <w:spacing w:after="0"/>
              <w:rPr>
                <w:sz w:val="18"/>
                <w:szCs w:val="18"/>
                <w:color w:val="auto"/>
              </w:rPr>
            </w:pPr>
          </w:p>
        </w:tc>
      </w:tr>
      <w:tr>
        <w:trPr>
          <w:trHeight w:val="214"/>
        </w:trPr>
        <w:tc>
          <w:tcPr>
            <w:tcW w:w="3200" w:type="dxa"/>
            <w:vAlign w:val="bottom"/>
          </w:tcPr>
          <w:p>
            <w:pPr>
              <w:spacing w:after="0"/>
              <w:rPr>
                <w:sz w:val="18"/>
                <w:szCs w:val="18"/>
                <w:color w:val="auto"/>
              </w:rPr>
            </w:pPr>
          </w:p>
        </w:tc>
        <w:tc>
          <w:tcPr>
            <w:tcW w:w="4980" w:type="dxa"/>
            <w:vAlign w:val="bottom"/>
          </w:tcPr>
          <w:p>
            <w:pPr>
              <w:jc w:val="center"/>
              <w:ind w:right="29"/>
              <w:spacing w:after="0"/>
              <w:rPr>
                <w:sz w:val="20"/>
                <w:szCs w:val="20"/>
                <w:color w:val="auto"/>
              </w:rPr>
            </w:pPr>
            <w:r>
              <w:rPr>
                <w:rFonts w:ascii="Times New Roman" w:cs="Times New Roman" w:eastAsia="Times New Roman" w:hAnsi="Times New Roman"/>
                <w:sz w:val="18"/>
                <w:szCs w:val="18"/>
                <w:b w:val="1"/>
                <w:bCs w:val="1"/>
                <w:color w:val="auto"/>
                <w:w w:val="99"/>
              </w:rPr>
              <w:t>Reston, Virginia 20190</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41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8"/>
                <w:szCs w:val="18"/>
                <w:b w:val="1"/>
                <w:bCs w:val="1"/>
                <w:color w:val="auto"/>
              </w:rPr>
              <w:t>(703) 438–2000</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377"/>
        </w:trPr>
        <w:tc>
          <w:tcPr>
            <w:tcW w:w="3200" w:type="dxa"/>
            <w:vAlign w:val="bottom"/>
          </w:tcPr>
          <w:p>
            <w:pPr>
              <w:spacing w:after="0"/>
              <w:rPr>
                <w:sz w:val="24"/>
                <w:szCs w:val="24"/>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060" w:type="dxa"/>
            <w:vAlign w:val="bottom"/>
          </w:tcPr>
          <w:p>
            <w:pPr>
              <w:spacing w:after="0"/>
              <w:rPr>
                <w:sz w:val="24"/>
                <w:szCs w:val="24"/>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206"/>
        </w:trPr>
        <w:tc>
          <w:tcPr>
            <w:tcW w:w="320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tcPr>
          <w:p>
            <w:pPr>
              <w:spacing w:after="0"/>
              <w:rPr>
                <w:sz w:val="17"/>
                <w:szCs w:val="17"/>
                <w:color w:val="auto"/>
              </w:rPr>
            </w:pPr>
          </w:p>
        </w:tc>
      </w:tr>
    </w:tbl>
    <w:p>
      <w:pPr>
        <w:spacing w:after="0" w:line="1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4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SCOR</w:t>
            </w:r>
          </w:p>
        </w:tc>
        <w:tc>
          <w:tcPr>
            <w:tcW w:w="8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September 26, 2025, comScore, Inc. (the "Company"), entered into separate Stock Exchange Agreements (individually, an "Exchange Agreement" and collectively, the "Exchange Agreements") with each of Charter Communications Holding Company, LLC, a Delaware limited liability company ("Charter"), Liberty Broadband Corporation, a Delaware corporation ("Liberty"), and Pine Investor, LLC, a Delaware limited liability company wholly owned by funds advised by Cerberus Capital Management, L.P. ("Pine" and together with Charter and Liberty, referred to herein collectively as the "Stockholders" and individually as a "Stockholder").</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29, 2025 (the "Closing Date"), the Company and the Stockholders completed the transactions contemplated by the Exchange Agreements (the "Closing"). On the Closing Date and pursuant to the Exchange Agreements, each Stockholder exchanged the 31,928,301 shares of Series B Convertible Preferred Stock, par value $0.001 per share, of the Company ("Series B Preferred Stock") previously owned by such Stockholder for (i) 4,223,621 shares of a new series of convertible preferred stock designated as Series C Convertible Preferred Stock, par value $0.001 per share ("Series C Preferred Stock"), which Series C Preferred Stock is convertible into shares of common stock, par value $0.001 per share, of the Company ("Common Stock") in accordance with the terms of the Certificate of Designations of Series C Preferred Stock filed with the Secretary of State of the State of Delaware (the "Certificate of Designations") and (ii) 3,286,825 shares of Common Stock (the "Exchange Common Stock" and such transactions, collectively, the "Exchange").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The foregoing summary of the Exchange Agreements and the Exchange does not purport to be complete and is subject to, and qualified in its entirety by, the full text of the Exchange Agreements with Charter, </w:t>
      </w:r>
      <w:r>
        <w:rPr>
          <w:rFonts w:ascii="Times New Roman" w:cs="Times New Roman" w:eastAsia="Times New Roman" w:hAnsi="Times New Roman"/>
          <w:sz w:val="18"/>
          <w:szCs w:val="18"/>
          <w:color w:val="000000"/>
        </w:rPr>
        <w:t>Liberty and Pine, which are filed as Exhibits 10.1, 10.2 and 10.3, respectively, to this Current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Report on Form 8-K and are incorporated herein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the Company and the Stockholders entered into a Second Amended and Restated Stockholders Agreement (the "Stockholders Agreement"), pursuant to which, among other things, immediately following the Closing, the Company was obligated to take all necessary action to ensure that the Company's Board of Directors (the "Board") and certain committees thereof consisted of the individuals set forth therein, including the applicable designees of each Stockholder, in each case as more particularly set forth in the Stockholders Agreement. Upon Closing, the Board consists of seven total directors: one designee of each Stockholder, one Additional Director (as defined below), and three directors who are not (a) a designee of any Stockholder or (b) for so long as the Stockholders have the ability to designate at least one director pursuant to the Stockholders Agreement, an individual who is an affiliate of such Stockholders (the "Unaffiliated Directors"), including the chief executive officer of the Company. See Item 5.02 of this Current Report on Form 8-K for further information regarding Board composition as of the Closing Date.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Stockholders Agreement provides that the Company shall not increase or decrease the size of the Board without the prior approval of a majority of the Unaffiliated Directors serving on the Board as of such time. The Company is obligated to take all necessary action (to the extent not prohibited by applicable law) to cause the Board to (a) appoint or nominate an Unaffiliated Director for election to fill any vacancy created by (i) the death, disability, resignation or removal of an Unaffiliated Director or (ii) an increase in the size of the Board and (b) maintain a percentage of Unaffiliated Directors serving on the Board that is no less than the percentage of Unaffiliated Directors serving on the Board as of Closing.</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Stockholders Agreement, the Company is obligated to take all necessary action (to the extent not prohibited by applicable law) to cause the Board to nominate for election that number of individuals designated by a Stockholder that, if elected, would result in one designee of such Stockholder serving on the Board until such time as such Stockholder beneficially owns Voting Stock (as defined in the Stockholders Agreement) representing less than 7.5% of the outstanding shares of Common Stock (on an as-converted basis), after which time such Stockholder will no longer have any rights to designate an individual to serve on the Board thereunder.</w:t>
      </w:r>
    </w:p>
    <w:p>
      <w:pPr>
        <w:spacing w:after="0" w:line="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Stockholders Agreement, the Company is obligated to take all necessary action (to the extent not prohibited by applicable law) to (i) cause the Board to nominate for election that number of individuals nominated by the Stockholders (or to the extent that any Stockholder no longer owns Voting Stock representing at least 7.5% of the outstanding shares of Common Stock (on an as-converted basis), only the Stockholders that continue to hold Voting Stock representing at least 7.5% of the outstanding shares of Common Stock) that, if elected, would result in one additional director (the "Additional Director") serving on the Board and (ii) unless otherwise agreed, cause the Board to designate the Additional Director as the chair of the Board, in each case until such time as the Stockholders beneficially own Voting Stock representing (in the aggregate) less than 22.5% of the outstanding shares of Common Stock (on an as-converted basis).</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Stockholders Agreement, if one of the Stockholders (the "Buying Stockholder") acquires from one of the other Stockholders (the "Selling Stockholder") 100% of the shares of (a) Series C Preferred Stock (or Common Stock issued or issuable in respect of such Series C Preferred Stock) and (b) Exchange Common Stock, in each case, held by such Selling Stockholder as of the Closing Date after giving effect to the Exchange, the Selling Stockholder will be obligated to take all necessary action to cause its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designated director to resign, and the Company will be obligated to take all necessary action (to the extent not prohibited by applicable law) to cause the Board to appoint one additional person designated by the Buying Stockholder to fill such newly created vacancy until such time as the Buying Stockholder beneficially owns a number of shares of Voting Stock (disregarding the shares of Voting Stock beneficially owned by the Buying Stockholder immediately prior to such transaction) representing less than 7.5% of the outstanding shares of Common Stock (on an as-converted basis). In no event, however, shall a Stockholder be entitled to designate or nominate a number of directors that would constitute a majority of the Board.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Stockholders Agreement, each Stockholder is obligated to vote any shares of Common Stock or Series C Preferred Stock held by such Stockholder (or with respect to which such Stockholder has the power to vote) that represent voting power in excess of 49.99% of the total voting power of the Company in a neutral manner on all matters upon which the Stockholder is entitled to vote. A "neutral manner" means in the same proportion as all other outstanding Common Stock of the Company (excluding any Common Stock beneficially owned, directly or indirectly, by the Stockholders and their permitted transferees) voted on the relevant matters.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Stockholders Agreement and subject to customary exceptions, each Stockholder agrees not to Transfer (as defined in the Stockholders Agreement) (a) any shares of Exchange Common Stock for a period of six months following the Closing Date or (b) any shares of Common Stock issued upon voluntary conversion of Series C Preferred Stock for a period of six months following the applicable conversion date, in each case, unless the per-share price paid in connection with such Transfer equals or exceeds $12.50.</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Stockholders Agreement, until such time as a Stockholder beneficially owns Voting Stock representing less than 5% of the outstanding shares of Common Stock (on an as-converted basis), such Stockholder is subject to customary standstill restrictions, in accordance with which the Stockholder and its affiliates have agreed not to, among other things and subject to exceptions set forth in the Stockholders Agreement: (a) acquire any equity securities of the Company such that after such acquisition the Stockholder and its affiliates (or any direct or indirect parent of such Stockholder) would beneficially own more than 49.99% of the outstanding shares of Common Stock (on an as-converted basis), (b) publicly seek or encourage any offer or proposal for a merger or similar transaction involving the Company, or (c) make, or in any way participate in, any "solicitation" of "proxies" (within the meaning of Rule 14a-1 under the Securities Exchange Act of 1934, as amended) to vote any Voting Stock of the Company or its subsidiaries, or call or seek to call a meeting of the Company's stockholders or initiate any stockholder proposal for action by the Company's stockholders or seek the removal of any director of the Board.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Stockholders Agreement, in the event that a Stockholder contemplates Transferring any shares of Series C Preferred Stock or Common Stock to another Person (as defined in the Stockholders Agreement), the other Stockholders each have a right of first refusal to purchase any or all of their respective pro rata portions of such shares of Series C Preferred Stock or Common Stock, subject to exceptions set forth in the Stockholders Agreement. Additionally, if the Company contemplates the sale or other disposition of any patents, Charter has a right of first offer and a right of first refusal to acquire such patents, on the terms and subject to exceptions as more particularly set forth in the Stockholders Agreement.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Stockholders Agreement, the prior written consent of each Stockholder is required for the Company to effect or validate certain enumerated actions for so long as such Stockholder beneficially owns Voting Stock representing at least 10% of the outstanding shares of Common Stock (on an as-converted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Agreement will terminate with respect to any particular Stockholder upon the mutual agreement in writing among the Company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The Stockholders Agreement will terminate automatically as to any particular Stockholder and certain transferees at such time 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no longer beneficially owns at least 5% of the outstanding shares of Common Stock (on an as-converted basis).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Stockholders Agreement does not purport to be complete and is subject to, and qualified in its entirety by, the full text of the Stockholders Agreement, which is filed as Exhibit 10.4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Registration Rights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the Company amended the Registration Rights Agreement, dated as of March 10, 2021, by and among the Company and the other parties thereto (the "RRA" and such amendment, the "RRA Amendment"). The RRA Amendment, among other things, amended the definition of "Registrable Securities" under the RRA to include shares of Series C Preferred Stock and shares of Common Stock issued upon conversion of the Series C Preferred Stock.</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RRA Amendment does not purport to be complete and is subject to, and qualified in its entirety by, the full text of the RRA Amendment, which is filed as Exhibit 10.5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Amendment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the previously disclosed amendment to the Company's Financing Agreement, dated as of December 31, 2024, among the Company, each subsidiary of the Company from time to time party thereto as a guarantor, each lender from time to time party thereto, and Blue Torch Finance LLC, as administrative agent and collateral agent (the "Financing Amendment"), which was entered into in connection with the execution of the Exchange Agreements, became effective. Among other things, the Financing Amendment amended the Financing Agreement to permit the Exchange and the issuance of Series C Preferred Stock in connection with the Exchange.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Financing Amendment does not purport to be complete and is subject to, and qualified in its entirety by, the full text of the Financing Amendment, which is filed as Exhibit 10.6 to this Current Report on Form 8-K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disclosure set forth above in the Introductory Note and below in Item 5.03 of this Current Report on Form 8-K is incorporated herein by reference. The securities of the Company that were issued as part of the Exchange will not initially be registered under the Securities Act of 1933, as amended (the "Securities Act"), in reliance on an exemption from registration provided by Section 4(a)(2) of the Securities Act and/or Regulation D promulgated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disclosure set forth above in Item 1.01 of this Current Report on Form 8-K related to the Stockholders Agreement and the RRA Amendment and below in Item 5.03 of this Current Report on Form 8-K related to the Certificate of Elimination of Designation of Series B Convertible Preferred Stock (the "Certificate of Elimination"), the Certificate of Amendment to the Amended and Restated Certificate of Incorporation of the Company (the "Certificate of Amendment"), and the Certificate of Designations is incorporated herein by reference.</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Exchange, Nana Banerjee, Itzhak Fisher, Leslie Gillin and Marty Patterson resigned from the Board effective as of the Closing Date. The resignations were not a result of any disagreement with the Company known to an executive officer of the Company on any matter relating to the Company's operations, policies or practices.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connection with the consummation of the Exchange, the Board appointed Bob Davenport to the Board effective as of the Closing Date. Mr. Davenport will serve as a Class III director with a term expiring at the 2028 annual meeting of stockholders of the Company. He will also serve as chair of the Board's Nominating and Governance Committee and as a member of the Compensation Committee.</w:t>
      </w:r>
    </w:p>
    <w:p>
      <w:pPr>
        <w:spacing w:after="0" w:line="6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Mr. Davenport was designated by Pine pursuant to the Stockholders Agreement. He serves as an executive officer of Pine and as a director and employee of Cerberus Capital Management, L.P. and, as a result, has an indirect interest in the Exchange and the Company's previously disclosed transactions with Pine.</w:t>
      </w:r>
    </w:p>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Davenport will earn cash retainers for his service on the Board and its committees in accordance with the Company's standard director compensation program, as described in the Company's definitive proxy statement for its 2025 annual meeting of stockholders, filed with the U.S. Securities and Exchange Commission on April 30, 2025. In addition, pursuant to the Company's standard director compensation program, Mr. Davenport received a prorated grant of 5,000 restricted stock units, which will vest on the earliest of the Company's 2026 annual meeting of stockholders, June 30, 2026 or a change in control of the Company, with vested units to be deferred and delivered in shares of Common Stock upon the earlier of his separation from service or a change in control of the Company.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appointment, Mr. Davenport will receive the Company's standard indemnification agreement for directors. The indemnification agreement generally requires the Company to indemnify directors to the fullest extent permitted by law.</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Closing Date changes described above, the Board is currently composed of David Kline (chair), Jon Carpenter, Bob Davenport, Bill Livek, Matt McLaughlin, Jeff Murphy and Brian Wendling.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Elimination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and effective as of the Closing Date, in connection with the consummation of the Exchange, the Company filed the Certificate of Elimination with the Secretary of State of the State of Delaware, returning the shares of Series B Preferred Stock to the status of undesignated preferred stock and eliminating from the Amended and Restated Certificate of Incorporation of the Company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 w:name="page5"/>
    <w:bookmarkEnd w:id="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"Certificate of Incorporation") all matters set forth in the Certificate of Designations of Series B Preferred Stock, as filed with the Secretary of State of the State of Delaware on March 10, 2021, as amended.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Certificate of Elimination does not purport to be complete and is subject to, and qualified in its entirety by, the full text of the Certificate of Elimination, which is filed as Exhibit 3.1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Amendment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and effective as of the Closing Date, following the filing of the Certificate of Elimination, the Company filed the Certificate of Amendment with the Secretary of State of the State of Delaware. The Certificate of Amendment permitted the issuance of Common Stock and Series C Preferred Stock to the Stockholders in connection with the Exchange and authorized a sufficient number of shares of preferred stock and Common Stock into which shares of Series C Preferred Stock may be converted. The Certificate of Amendment (a) decreased the total number of shares of stock authorized for issuance from 121,750,000 to 60,000,000, (b) decreased the number of shares of preferred stock authorized for issuance from 105,000,000 to 14,000,000 and (c) increased the number of shares of Common Stock authorized for issuance from 16,750,000 to 46,000,000.</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Certificate of Amendment does not purport to be complete and is subject to, and qualified in its entirety by, the full text of the Certificate of Amendment, which is filed as Exhibit 3.2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Designations Designating the Series C Preferred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and effective as of the Closing Date, following the filing of the Certificate of Amendment, the Company filed with the Secretary of State of the State of Delaware a Certificate of Designations of Series C Preferred Stock designating the Series C Preferred Stock and establishing the powers, designations, preferences and relative, participating, optional or other rights, and the qualifications, limitations or restrictions of shares of Series C Preferred Stock.</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C Preferred Stock ranks senior to the Common Stock with respect to dividend rights and rights on the distribution of assets on any voluntary or involuntary liquidation, dissolution or winding up of the affairs of the Company and ranks junior to all secured and unsecured indebtedness. The Series C Preferred Stock has a liquidation preference equal to the purchase price ($14.50 per share). The holders of Series C Preferred Stock are entitled to participate in all dividends declared on the Common Stock on an as-converted basis.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certain anti-dilution adjustments, the Series C Preferred Stock is convertible at the option of the holders at any time into a number of shares of Common Stock equal to the Conversion Rate (as defined in the Certificate of Designations), provided that each holder will receive cash in lieu of fractional shares (if any), and provided further that no holder is entitled to convert Series C Preferred Stock in an amount that would cause such holder to beneficially own immediately following such conversion more than 49.99% of the then-outstanding shares of Common Stock.</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VWAP (as defined in the Certificate of Designations) per share of Common Stock for any calendar quarter ending after the six-month anniversary of the Closing Date (a "Conversion Quarter") is greater than the Mandatory Conversion Price (as defined in the Certificate of Designations) then, if a majority of the members of the Board that have not been designated by, and are not affiliated with, any Stockholder so direct, the Company shall convert into shares of Common Stock, on a pro rata basis based on the number of shares of Series C Preferred Stock held as of the date of the Notice of Mandatory Conversion (as defined in the Certificate of Designations), up to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total shares of Series C Preferred Stock outstanding as of the Closing Date on a date selected by the Company that is within six months after the last day of the Conversion Quarter, provided that if the conversion of a holder's pro rata share of the then-outstanding shares of Series C Preferred Stock would cause such holder to beneficially own immediately following such conversion more than 49.99% of the then-outstanding shares of Common Stock, the number of such holder's shares of Series C Preferred Stock that may be converted will be reduced to the greatest number of shares that would cause such holder to beneficially own immediately following such conversion no more than 49.99% of the then-outstanding shares of Common Stock.</w:t>
      </w:r>
    </w:p>
    <w:p>
      <w:pPr>
        <w:spacing w:after="0" w:line="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undergoes certain change of control transactions, (a) each holder of outstanding shares of Series C Preferred Stock will have the option to require the Company to purchase any or all of its shares of Series C Preferred Stock at a purchase price per share equal to the Liquidation Preference (as defined in the Certificate of Designations) ("Change of Control Put") and (b) to the extent that a holder has not exercised the Change of Control Put, the Company will have the right to redeem, subject to the holder's right to convert prior to such redemption, all of such holder's shares of Series C Preferred Stock that are not subject to a Change of Control Put, at a redemption price per share equal to the Liquidation Preference ("Change of Control Call"). If the Company does not pay the amounts due in connection with a Change of Control Put or Change of Control Call in full when due, such unpaid amount will accrue interest at a rate of 9.5% per annum until such shares are repurchased.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shares of Series C Preferred Stock have one vote per share (subject to adjustment in accordance with the Certificate of Designations) and are entitled to vote as a single class with the holders of the Common Stock and the holders of any other class or series of capital stock of the Company then entitled to vote with the Common Stock on all matters submitted to a vote of the holders of Common Stock. However, to the extent that the Series C Preferred Stock and any shares of Common Stock held as of the Closing Date by a Stockholder, together with certain transferees and affiliates, would represent voting rights with respect to more than 16.66% of the Common Stock (including the Series C Preferred Stock on an as-converted basis) (the "Voting Threshold"), such Stockholder will not be permitted to exercise the voting rights with respect to any shares of Series C Preferred Stock held by them in excess of the Voting Threshold and the Company shall exercise the voting rights with respect to such shares of Series C Preferred Stock in excess of the Voting Threshold in a neutral manner. To the extent that a holder acquires shares of Series C Preferred Stock from another holder, the acquiring holder's Voting Threshold will be increased proportionately based on the number of shares that such holder acquires and the disposing holder's Voting Threshold will be decreased proportionately, such that the aggregate Voting Threshold of all holders does not exceed 49.99%.</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Certificate of Designations does not purport to be complete and is subject to, and qualified in its entirety by, the full text of the Certificate of Designations, which is filed as Exhibit 3.3 to this Current Report on Form 8-K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1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Certificate of Elimination of Designation of Series B Convertible Preferred Stock of comScore, Inc., dated December 29, 2025</w:t>
            </w:r>
          </w:p>
        </w:tc>
        <w:tc>
          <w:tcPr>
            <w:tcW w:w="960" w:type="dxa"/>
            <w:vAlign w:val="bottom"/>
            <w:gridSpan w:val="11"/>
          </w:tcPr>
          <w:p>
            <w:pPr>
              <w:spacing w:after="0"/>
              <w:rPr>
                <w:sz w:val="19"/>
                <w:szCs w:val="19"/>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Certificate of Amendment of Amended and Restated Certificate of Incorporation of comScore, Inc., dated December 29, 2025</w:t>
            </w: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 xml:space="preserve">Certificate of Designations of Series C Convertible Preferred Stock, par value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0.001, of comScore, Inc., dated December 29, 2025</w:t>
            </w:r>
          </w:p>
        </w:tc>
        <w:tc>
          <w:tcPr>
            <w:tcW w:w="640" w:type="dxa"/>
            <w:vAlign w:val="bottom"/>
            <w:gridSpan w:val="7"/>
          </w:tcPr>
          <w:p>
            <w:pPr>
              <w:spacing w:after="0"/>
              <w:rPr>
                <w:sz w:val="22"/>
                <w:szCs w:val="22"/>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Stock Exchange Agreement, dated as of September 26, 2025, by and between comScore, Inc. and Charter Communications Holding</w:t>
              </w:r>
            </w:hyperlink>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Company, LLC (incorporated by reference to Exhibit 10.1 to the Registrant's Current Report on Form 8-K, filed on September 29,</w:t>
              </w:r>
            </w:hyperlink>
          </w:p>
        </w:tc>
        <w:tc>
          <w:tcPr>
            <w:tcW w:w="460" w:type="dxa"/>
            <w:vAlign w:val="bottom"/>
            <w:gridSpan w:val="4"/>
          </w:tcPr>
          <w:p>
            <w:pPr>
              <w:jc w:val="right"/>
              <w:ind w:right="140"/>
              <w:spacing w:after="0" w:line="169" w:lineRule="exact"/>
              <w:rPr>
                <w:rFonts w:ascii="Times New Roman" w:cs="Times New Roman" w:eastAsia="Times New Roman" w:hAnsi="Times New Roman"/>
                <w:sz w:val="18"/>
                <w:szCs w:val="18"/>
                <w:color w:val="0000FF"/>
                <w:w w:val="71"/>
              </w:rPr>
            </w:pPr>
            <w:hyperlink r:id="rId17">
              <w:r>
                <w:rPr>
                  <w:rFonts w:ascii="Times New Roman" w:cs="Times New Roman" w:eastAsia="Times New Roman" w:hAnsi="Times New Roman"/>
                  <w:sz w:val="18"/>
                  <w:szCs w:val="18"/>
                  <w:color w:val="0000FF"/>
                  <w:w w:val="71"/>
                </w:rPr>
                <w:t>2025)</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(File No. 001-33520)</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Stock Exchange Agreement, dated as of September 26, 2025, by and between comScore, Inc. and Liberty Broadband Corporation</w:t>
              </w:r>
            </w:hyperlink>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(incorporated by reference to Exhibit 10.2 to the Registrant's Current Report on Form 8-K, filed on September 29, 2025) (File No.</w:t>
              </w:r>
            </w:hyperlink>
          </w:p>
        </w:tc>
        <w:tc>
          <w:tcPr>
            <w:tcW w:w="620" w:type="dxa"/>
            <w:vAlign w:val="bottom"/>
            <w:gridSpan w:val="6"/>
          </w:tcPr>
          <w:p>
            <w:pPr>
              <w:jc w:val="right"/>
              <w:ind w:right="240"/>
              <w:spacing w:after="0" w:line="169"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001-</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8">
              <w:r>
                <w:rPr>
                  <w:rFonts w:ascii="Times New Roman" w:cs="Times New Roman" w:eastAsia="Times New Roman" w:hAnsi="Times New Roman"/>
                  <w:sz w:val="18"/>
                  <w:szCs w:val="18"/>
                  <w:color w:val="0000FF"/>
                  <w:w w:val="97"/>
                </w:rPr>
                <w:t>33520)</w:t>
              </w:r>
            </w:hyperlink>
          </w:p>
        </w:tc>
        <w:tc>
          <w:tcPr>
            <w:tcW w:w="1020" w:type="dxa"/>
            <w:vAlign w:val="bottom"/>
            <w:tcBorders>
              <w:top w:val="single" w:sz="8" w:color="0000FF"/>
            </w:tcBorders>
          </w:tcPr>
          <w:p>
            <w:pPr>
              <w:spacing w:after="0"/>
              <w:rPr>
                <w:sz w:val="13"/>
                <w:szCs w:val="13"/>
                <w:color w:val="auto"/>
              </w:rPr>
            </w:pPr>
          </w:p>
        </w:tc>
        <w:tc>
          <w:tcPr>
            <w:tcW w:w="55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6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Stock Exchange Agreement, dated as of September 26, 2025, by and between comScore, Inc. and Pine Investor, LLC (incorporated by</w:t>
              </w:r>
            </w:hyperlink>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reference to Exhibit 10.3 to the Registrant's Current Report on Form 8-K, filed on September 29, 2025) (File No. 001-33520)</w:t>
              </w:r>
            </w:hyperlink>
          </w:p>
        </w:tc>
        <w:tc>
          <w:tcPr>
            <w:tcW w:w="600" w:type="dxa"/>
            <w:vAlign w:val="bottom"/>
            <w:tcBorders>
              <w:top w:val="single" w:sz="8" w:color="0000FF"/>
            </w:tcBorders>
            <w:gridSpan w:val="7"/>
          </w:tcPr>
          <w:p>
            <w:pPr>
              <w:spacing w:after="0"/>
              <w:rPr>
                <w:sz w:val="14"/>
                <w:szCs w:val="14"/>
                <w:color w:val="auto"/>
              </w:rPr>
            </w:pPr>
          </w:p>
        </w:tc>
        <w:tc>
          <w:tcPr>
            <w:tcW w:w="3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Second Amended and Restated Stockholders Agreement, dated as of December 29, 2025, by and among comScore, Inc., Charter</w:t>
            </w: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Communications Holding Company, LLC, Liberty Broadband Corporation and Pine Investor, LLC</w:t>
            </w:r>
          </w:p>
        </w:tc>
        <w:tc>
          <w:tcPr>
            <w:tcW w:w="70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First Amendment to Registration Rights Agreement, dated as of December 29. 2025, by and among comScore, Inc., Charter</w:t>
            </w: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Communications Holding Company, LLC, Liberty Broadband Corporation and Pine Investor, LLC</w:t>
            </w:r>
          </w:p>
        </w:tc>
        <w:tc>
          <w:tcPr>
            <w:tcW w:w="260" w:type="dxa"/>
            <w:vAlign w:val="bottom"/>
            <w:gridSpan w:val="3"/>
          </w:tcPr>
          <w:p>
            <w:pPr>
              <w:spacing w:after="0"/>
              <w:rPr>
                <w:sz w:val="14"/>
                <w:szCs w:val="14"/>
                <w:color w:val="auto"/>
              </w:rPr>
            </w:pPr>
          </w:p>
        </w:tc>
        <w:tc>
          <w:tcPr>
            <w:tcW w:w="78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4"/>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Amendment No. 1 to Financing Agreement, dated as of September 26, 2025, by and between comScore Inc., each subsidiary of comScore,</w:t>
              </w:r>
            </w:hyperlink>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Inc. from time to time party thereto as a guarantor, each lender from time to time party thereto, and Blue Torch Finance LLC (incorporated</w:t>
              </w:r>
            </w:hyperlink>
          </w:p>
        </w:tc>
        <w:tc>
          <w:tcPr>
            <w:tcW w:w="100" w:type="dxa"/>
            <w:vAlign w:val="bottom"/>
          </w:tcPr>
          <w:p>
            <w:pPr>
              <w:spacing w:after="0"/>
              <w:rPr>
                <w:sz w:val="14"/>
                <w:szCs w:val="14"/>
                <w:color w:val="auto"/>
              </w:rPr>
            </w:pPr>
          </w:p>
        </w:tc>
      </w:tr>
      <w:tr>
        <w:trPr>
          <w:trHeight w:val="156"/>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by reference to Exhibit 10.8 to the Registrant's Current Report on Form 8-K, filed on September 29, 2025) (File No 001-33520)</w:t>
              </w:r>
            </w:hyperlink>
          </w:p>
        </w:tc>
        <w:tc>
          <w:tcPr>
            <w:tcW w:w="780" w:type="dxa"/>
            <w:vAlign w:val="bottom"/>
            <w:tcBorders>
              <w:top w:val="single" w:sz="8" w:color="0000FF"/>
            </w:tcBorders>
            <w:gridSpan w:val="8"/>
          </w:tcPr>
          <w:p>
            <w:pPr>
              <w:spacing w:after="0"/>
              <w:rPr>
                <w:sz w:val="13"/>
                <w:szCs w:val="13"/>
                <w:color w:val="auto"/>
              </w:rPr>
            </w:pPr>
          </w:p>
        </w:tc>
        <w:tc>
          <w:tcPr>
            <w:tcW w:w="120" w:type="dxa"/>
            <w:vAlign w:val="bottom"/>
            <w:gridSpan w:val="2"/>
          </w:tcPr>
          <w:p>
            <w:pPr>
              <w:spacing w:after="0"/>
              <w:rPr>
                <w:sz w:val="13"/>
                <w:szCs w:val="13"/>
                <w:color w:val="auto"/>
              </w:rPr>
            </w:pPr>
          </w:p>
        </w:tc>
      </w:tr>
    </w:tbl>
    <w:p>
      <w:pPr>
        <w:spacing w:after="0" w:line="76" w:lineRule="exact"/>
        <w:rPr>
          <w:sz w:val="20"/>
          <w:szCs w:val="20"/>
          <w:color w:val="auto"/>
        </w:rPr>
      </w:pPr>
    </w:p>
    <w:p>
      <w:pPr>
        <w:ind w:left="1140" w:hanging="1114"/>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comScore, Inc.</w:t>
      </w:r>
    </w:p>
    <w:p>
      <w:pPr>
        <w:spacing w:after="0" w:line="243" w:lineRule="exact"/>
        <w:rPr>
          <w:sz w:val="20"/>
          <w:szCs w:val="20"/>
          <w:color w:val="auto"/>
        </w:rPr>
      </w:pPr>
    </w:p>
    <w:tbl>
      <w:tblPr>
        <w:tblLayout w:type="fixed"/>
        <w:tblInd w:w="7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Margaret Curry</w:t>
            </w:r>
          </w:p>
        </w:tc>
      </w:tr>
      <w:tr>
        <w:trPr>
          <w:trHeight w:val="218"/>
        </w:trPr>
        <w:tc>
          <w:tcPr>
            <w:tcW w:w="56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Margaret Curry</w:t>
            </w:r>
          </w:p>
        </w:tc>
      </w:tr>
      <w:tr>
        <w:trPr>
          <w:trHeight w:val="234"/>
        </w:trPr>
        <w:tc>
          <w:tcPr>
            <w:tcW w:w="560" w:type="dxa"/>
            <w:vAlign w:val="bottom"/>
          </w:tcPr>
          <w:p>
            <w:pPr>
              <w:spacing w:after="0"/>
              <w:rPr>
                <w:sz w:val="20"/>
                <w:szCs w:val="20"/>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ELIMINATION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 OF SERIES B CONVERTIBLE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COMSCORE,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151(g)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8"/>
          <w:szCs w:val="18"/>
          <w:color w:val="auto"/>
        </w:rPr>
        <w:t>comScore, Inc. (the “</w:t>
      </w:r>
      <w:r>
        <w:rPr>
          <w:rFonts w:ascii="Arial" w:cs="Arial" w:eastAsia="Arial" w:hAnsi="Arial"/>
          <w:sz w:val="18"/>
          <w:szCs w:val="18"/>
          <w:u w:val="single" w:color="auto"/>
          <w:color w:val="auto"/>
        </w:rPr>
        <w:t>Company</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w:t>
      </w:r>
      <w:r>
        <w:rPr>
          <w:rFonts w:ascii="Arial" w:cs="Arial" w:eastAsia="Arial" w:hAnsi="Arial"/>
          <w:sz w:val="18"/>
          <w:szCs w:val="18"/>
          <w:b w:val="1"/>
          <w:bCs w:val="1"/>
          <w:color w:val="auto"/>
        </w:rPr>
        <w:t>HEREBY CERTIFIES AS FOLLOWS</w:t>
      </w:r>
      <w:r>
        <w:rPr>
          <w:rFonts w:ascii="Arial" w:cs="Arial" w:eastAsia="Arial" w:hAnsi="Arial"/>
          <w:sz w:val="18"/>
          <w:szCs w:val="18"/>
          <w:color w:val="auto"/>
        </w:rPr>
        <w:t>:</w:t>
      </w:r>
    </w:p>
    <w:p>
      <w:pPr>
        <w:spacing w:after="0" w:line="137" w:lineRule="exact"/>
        <w:rPr>
          <w:sz w:val="20"/>
          <w:szCs w:val="20"/>
          <w:color w:val="auto"/>
        </w:rPr>
      </w:pPr>
    </w:p>
    <w:p>
      <w:pPr>
        <w:jc w:val="both"/>
        <w:ind w:left="660" w:hanging="652"/>
        <w:spacing w:after="0" w:line="25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authority vested in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by the Amended and Restated Certificate of Incorporation of the Company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pursuant to the provisions of Section 151 of the DGCL, the Board, by resolutions previously duly adopted, authorized the issuance of 105,000,000 shares of preferred stock, par value $0.001 per share, of the Company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 created and authorized the issuance of a series of Preferred Stock designated as Series B Convertible Preferred Stock (the “</w:t>
      </w:r>
      <w:r>
        <w:rPr>
          <w:rFonts w:ascii="Arial" w:cs="Arial" w:eastAsia="Arial" w:hAnsi="Arial"/>
          <w:sz w:val="18"/>
          <w:szCs w:val="18"/>
          <w:u w:val="single" w:color="auto"/>
          <w:color w:val="auto"/>
        </w:rPr>
        <w:t>Series B Preferred Stock</w:t>
      </w:r>
      <w:r>
        <w:rPr>
          <w:rFonts w:ascii="Arial" w:cs="Arial" w:eastAsia="Arial" w:hAnsi="Arial"/>
          <w:sz w:val="18"/>
          <w:szCs w:val="18"/>
          <w:color w:val="auto"/>
        </w:rPr>
        <w:t>”), subject to the Certificate of Designations of Series B Preferred Stock (the “</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as filed with the Secretary of State of the State of Delaware on March 10, 2021, as amended.</w:t>
      </w:r>
    </w:p>
    <w:p>
      <w:pPr>
        <w:spacing w:after="0" w:line="182" w:lineRule="exact"/>
        <w:rPr>
          <w:rFonts w:ascii="Arial" w:cs="Arial" w:eastAsia="Arial" w:hAnsi="Arial"/>
          <w:sz w:val="18"/>
          <w:szCs w:val="18"/>
          <w:color w:val="auto"/>
        </w:rPr>
      </w:pPr>
    </w:p>
    <w:p>
      <w:pPr>
        <w:jc w:val="both"/>
        <w:ind w:left="660" w:hanging="652"/>
        <w:spacing w:after="0" w:line="268"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each Stock Exchange Agreement, dated as of September 26, 2025, by and between the Company and the stockholder party thereto (the “</w:t>
      </w:r>
      <w:r>
        <w:rPr>
          <w:rFonts w:ascii="Arial" w:cs="Arial" w:eastAsia="Arial" w:hAnsi="Arial"/>
          <w:sz w:val="18"/>
          <w:szCs w:val="18"/>
          <w:u w:val="single" w:color="auto"/>
          <w:color w:val="auto"/>
        </w:rPr>
        <w:t>Exchange Agreements</w:t>
      </w:r>
      <w:r>
        <w:rPr>
          <w:rFonts w:ascii="Arial" w:cs="Arial" w:eastAsia="Arial" w:hAnsi="Arial"/>
          <w:sz w:val="18"/>
          <w:szCs w:val="18"/>
          <w:color w:val="auto"/>
        </w:rPr>
        <w:t>”), all issued and outstanding shares of the Series B Preferred Stock have been reacquired by the Company.</w:t>
      </w:r>
    </w:p>
    <w:p>
      <w:pPr>
        <w:spacing w:after="0" w:line="170" w:lineRule="exact"/>
        <w:rPr>
          <w:rFonts w:ascii="Arial" w:cs="Arial" w:eastAsia="Arial" w:hAnsi="Arial"/>
          <w:sz w:val="18"/>
          <w:szCs w:val="18"/>
          <w:color w:val="auto"/>
        </w:rPr>
      </w:pPr>
    </w:p>
    <w:p>
      <w:pPr>
        <w:ind w:left="660" w:hanging="652"/>
        <w:spacing w:after="0" w:line="28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deems it in the best interest of the Company to eliminate from the Certificate of Incorporation, the Certificate of Designations with respect to the Series B Preferred Stock.</w:t>
      </w:r>
    </w:p>
    <w:p>
      <w:pPr>
        <w:spacing w:after="0" w:line="152" w:lineRule="exact"/>
        <w:rPr>
          <w:rFonts w:ascii="Arial" w:cs="Arial" w:eastAsia="Arial" w:hAnsi="Arial"/>
          <w:sz w:val="18"/>
          <w:szCs w:val="18"/>
          <w:color w:val="auto"/>
        </w:rPr>
      </w:pPr>
    </w:p>
    <w:p>
      <w:pPr>
        <w:ind w:left="660" w:hanging="652"/>
        <w:spacing w:after="0" w:line="287"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Section 151(g) of the DGCL, the Board adopted the following resolutions thereby eliminating the Series B Preferred Stock:</w:t>
      </w:r>
    </w:p>
    <w:p>
      <w:pPr>
        <w:spacing w:after="0" w:line="15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none of the authorized shares of Series B Preferred Stock are outstanding and none of the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Series B Preferred Stock will be issued subject to the Certificate of Designations;</w:t>
      </w:r>
    </w:p>
    <w:p>
      <w:pPr>
        <w:spacing w:after="0" w:line="15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 be, and hereby is, authorized and directed to file with the Secretary of State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Delaware a certificate (the “</w:t>
      </w:r>
      <w:r>
        <w:rPr>
          <w:rFonts w:ascii="Arial" w:cs="Arial" w:eastAsia="Arial" w:hAnsi="Arial"/>
          <w:sz w:val="18"/>
          <w:szCs w:val="18"/>
          <w:u w:val="single" w:color="auto"/>
          <w:color w:val="auto"/>
        </w:rPr>
        <w:t>Certificate of Elimination</w:t>
      </w:r>
      <w:r>
        <w:rPr>
          <w:rFonts w:ascii="Arial" w:cs="Arial" w:eastAsia="Arial" w:hAnsi="Arial"/>
          <w:sz w:val="18"/>
          <w:szCs w:val="18"/>
          <w:color w:val="auto"/>
        </w:rPr>
        <w:t>”) containing these resolutions, with the effect under the DGCL of eliminating from the Certificate of Incorporation all matters set forth in the Certificate of Designations; and</w:t>
      </w:r>
    </w:p>
    <w:p>
      <w:pPr>
        <w:spacing w:after="0" w:line="1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of the Company are, and each of them hereby is, authorized and directed, for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in its name, to execute and file the Certificate of Elimination at such time as they deem appropriate, and to take such further actions as they may deem necessary or appropriate to carry out the intent of the foregoing resolutions in accordance with the applicable provisions of the DGCL.</w:t>
      </w:r>
    </w:p>
    <w:p>
      <w:pPr>
        <w:spacing w:after="0" w:line="176" w:lineRule="exact"/>
        <w:rPr>
          <w:sz w:val="20"/>
          <w:szCs w:val="20"/>
          <w:color w:val="auto"/>
        </w:rPr>
      </w:pPr>
    </w:p>
    <w:p>
      <w:pPr>
        <w:jc w:val="both"/>
        <w:ind w:left="660" w:hanging="652"/>
        <w:spacing w:after="0" w:line="262"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the provisions of Section 151(g) of the DGCL, all references to the Series B Preferred Stock in the Certificate of Incorporation, including the Certificate of Designations, are hereby eliminated, and the shares that were designated to such series are hereby returned to the status of authorized but unissued shares of Preferred Stock of the Company, without designation as to series.</w:t>
      </w:r>
    </w:p>
    <w:p>
      <w:pPr>
        <w:sectPr>
          <w:pgSz w:w="11900" w:h="16838" w:orient="portrait"/>
          <w:cols w:equalWidth="0" w:num="1">
            <w:col w:w="11240"/>
          </w:cols>
          <w:pgMar w:left="320" w:top="121" w:right="339" w:bottom="1440" w:gutter="0" w:footer="0" w:header="0"/>
        </w:sectPr>
      </w:pPr>
    </w:p>
    <w:bookmarkStart w:id="8" w:name="page9"/>
    <w:bookmarkEnd w:id="8"/>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WITNESS WHEREOF, COMSCORE, INC. has caused this Certificate of Elimination of Designation to be duly executed by an authorized officer of the Company on this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December 2025.</w:t>
      </w:r>
    </w:p>
    <w:p>
      <w:pPr>
        <w:spacing w:after="0" w:line="8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COMSCORE, INC.</w:t>
      </w: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18"/>
          <w:szCs w:val="18"/>
          <w:color w:val="auto"/>
        </w:rPr>
        <w:t>By:</w:t>
        <w:tab/>
        <w:t>/s/ Ashley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-7620</wp:posOffset>
            </wp:positionV>
            <wp:extent cx="981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7"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Ashley Wright</w:t>
      </w:r>
    </w:p>
    <w:p>
      <w:pPr>
        <w:spacing w:after="0" w:line="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comScore,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comScore,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organized and existing under and by virtue of the General Corporation Law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does hereby certify:</w:t>
      </w:r>
    </w:p>
    <w:p>
      <w:pPr>
        <w:spacing w:after="0" w:line="20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on October 24, 2025, the Board of Directors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of the Corporation duly adopted resolutions setting forth a</w:t>
      </w:r>
      <w:r>
        <w:rPr>
          <w:rFonts w:ascii="Arial" w:cs="Arial" w:eastAsia="Arial" w:hAnsi="Arial"/>
          <w:sz w:val="18"/>
          <w:szCs w:val="18"/>
          <w:b w:val="1"/>
          <w:bCs w:val="1"/>
          <w:color w:val="auto"/>
        </w:rPr>
        <w:t xml:space="preserve"> </w:t>
      </w:r>
      <w:r>
        <w:rPr>
          <w:rFonts w:ascii="Arial" w:cs="Arial" w:eastAsia="Arial" w:hAnsi="Arial"/>
          <w:sz w:val="18"/>
          <w:szCs w:val="18"/>
          <w:color w:val="auto"/>
        </w:rPr>
        <w:t>proposed amendment (the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of the Amended and Restated Certificate of Incorporation of the Corporation, as amended, declaring the Amendment to be advisable and submitting the Amendment at a meeting of the stockholders of the Corporation for consideration thereof.</w:t>
      </w:r>
    </w:p>
    <w:p>
      <w:pPr>
        <w:spacing w:after="0" w:line="20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thereafter, pursuant to resolutions of the Board, a special meeting of stockholders of the Corporation was duly called</w:t>
      </w:r>
      <w:r>
        <w:rPr>
          <w:rFonts w:ascii="Arial" w:cs="Arial" w:eastAsia="Arial" w:hAnsi="Arial"/>
          <w:sz w:val="18"/>
          <w:szCs w:val="18"/>
          <w:b w:val="1"/>
          <w:bCs w:val="1"/>
          <w:color w:val="auto"/>
        </w:rPr>
        <w:t xml:space="preserve"> </w:t>
      </w:r>
      <w:r>
        <w:rPr>
          <w:rFonts w:ascii="Arial" w:cs="Arial" w:eastAsia="Arial" w:hAnsi="Arial"/>
          <w:sz w:val="18"/>
          <w:szCs w:val="18"/>
          <w:color w:val="auto"/>
        </w:rPr>
        <w:t>and held on December 19, 2025, upon notice in accordance with Section 222 of the General Corporation Law of the State of Delaware and at which meeting the necessary number of shares as required by statute and the Amended and Restated Certificate of Incorporation of the Corporation were voted in favor of approval of the Amendment.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This Amendment amends the provisions of the Amended and Restated Certificate of Incorporation of the Corporation.</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That Section A.1 of Article IV of the Amended and Restated Certificate of Incorporation of the Corporation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in full as follows: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98" w:lineRule="exact"/>
        <w:rPr>
          <w:sz w:val="20"/>
          <w:szCs w:val="20"/>
          <w:color w:val="auto"/>
        </w:rPr>
      </w:pPr>
    </w:p>
    <w:p>
      <w:pPr>
        <w:jc w:val="both"/>
        <w:ind w:left="1300" w:firstLine="652"/>
        <w:spacing w:after="0" w:line="262" w:lineRule="auto"/>
        <w:tabs>
          <w:tab w:leader="none" w:pos="2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Corporation is authorized to issue two classes of stock, to be designated, respectively,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The total number of shares which the Corporation is authorized to issue is 60,000,000 shares. 46,000,000 shares shall be Common Stock, par value $0.001 per share, and 14,000,000 shares shall be Preferred Stock, par value $0.001 per share.</w:t>
      </w:r>
    </w:p>
    <w:p>
      <w:pPr>
        <w:spacing w:after="0" w:line="20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That the Amendment was duly adopted in accordance with the provisions of Section 242 of the General Corporation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All other provisions of the Amended and Restated Certificate of Incorporation of the Corporation shall remain in full force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180" w:lineRule="exact"/>
        <w:rPr>
          <w:sz w:val="20"/>
          <w:szCs w:val="20"/>
          <w:color w:val="auto"/>
        </w:rPr>
      </w:pPr>
    </w:p>
    <w:p>
      <w:pPr>
        <w:ind w:firstLine="648"/>
        <w:spacing w:after="0" w:line="299"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 authorized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this 29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December 2025.</w:t>
      </w:r>
    </w:p>
    <w:p>
      <w:pPr>
        <w:spacing w:after="0" w:line="61"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18"/>
          <w:szCs w:val="18"/>
          <w:color w:val="auto"/>
        </w:rPr>
        <w:t>By:</w:t>
        <w:tab/>
        <w:t>/s/ Ashley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-7620</wp:posOffset>
            </wp:positionV>
            <wp:extent cx="9817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7"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Ashley Wright</w:t>
      </w:r>
    </w:p>
    <w:p>
      <w:pPr>
        <w:spacing w:after="0" w:line="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18"/>
          <w:szCs w:val="18"/>
          <w:color w:val="auto"/>
        </w:rPr>
        <w:t>Title:</w:t>
        <w:tab/>
        <w:t>Secretary</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CERTIFICATE OF DESIGNATIONS OF</w:t>
      </w:r>
    </w:p>
    <w:p>
      <w:pPr>
        <w:spacing w:after="0" w:line="2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SERIES C CONVERTIBLE PREFERRED STOCK,</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PAR VALUE $0.001,</w:t>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OF</w:t>
      </w:r>
    </w:p>
    <w:p>
      <w:pPr>
        <w:spacing w:after="0" w:line="1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COMSCORE, INC.</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Pursuant to Section 151(g) of the General Corporation Law of the State of Delaware (as amended, supplemented or restated from time to time, the “</w:t>
      </w:r>
      <w:r>
        <w:rPr>
          <w:rFonts w:ascii="Times New Roman" w:cs="Times New Roman" w:eastAsia="Times New Roman" w:hAnsi="Times New Roman"/>
          <w:sz w:val="22"/>
          <w:szCs w:val="22"/>
          <w:b w:val="1"/>
          <w:bCs w:val="1"/>
          <w:u w:val="single" w:color="auto"/>
          <w:color w:val="auto"/>
        </w:rPr>
        <w:t>DGCL</w:t>
      </w:r>
      <w:r>
        <w:rPr>
          <w:rFonts w:ascii="Times New Roman" w:cs="Times New Roman" w:eastAsia="Times New Roman" w:hAnsi="Times New Roman"/>
          <w:sz w:val="22"/>
          <w:szCs w:val="22"/>
          <w:color w:val="auto"/>
        </w:rPr>
        <w:t>”), COMSCORE, INC., a corporation organized and existing under the laws of the State of Delaware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in accordance with the provisions of Section 103 of the DGCL, DOES HEREBY CERTIFY: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That, the Certificate of Amendment to the Amended and Restated Certificate of Incorporation of the Company, as filed with the Secretary of State of the State of Delaware on December 29, 2025 (the “</w:t>
      </w:r>
      <w:r>
        <w:rPr>
          <w:rFonts w:ascii="Times New Roman" w:cs="Times New Roman" w:eastAsia="Times New Roman" w:hAnsi="Times New Roman"/>
          <w:sz w:val="22"/>
          <w:szCs w:val="22"/>
          <w:b w:val="1"/>
          <w:bCs w:val="1"/>
          <w:u w:val="single" w:color="auto"/>
          <w:color w:val="auto"/>
        </w:rPr>
        <w:t>Certificate of Amendment</w:t>
      </w:r>
      <w:r>
        <w:rPr>
          <w:rFonts w:ascii="Times New Roman" w:cs="Times New Roman" w:eastAsia="Times New Roman" w:hAnsi="Times New Roman"/>
          <w:sz w:val="22"/>
          <w:szCs w:val="22"/>
          <w:color w:val="auto"/>
        </w:rPr>
        <w:t>”), authorizes the issuance of 60,000,000 shares of capital stock, consisting of 46,000,000 shares of Common Stock, par value $0.001 per share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and 14,000,000 shares of Preferred Stock, par value $0.001 per share (“</w:t>
      </w:r>
      <w:r>
        <w:rPr>
          <w:rFonts w:ascii="Times New Roman" w:cs="Times New Roman" w:eastAsia="Times New Roman" w:hAnsi="Times New Roman"/>
          <w:sz w:val="22"/>
          <w:szCs w:val="22"/>
          <w:b w:val="1"/>
          <w:bCs w:val="1"/>
          <w:u w:val="single" w:color="auto"/>
          <w:color w:val="auto"/>
        </w:rPr>
        <w:t>Preferred Stock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That, subject to the provisions of the Amended and Restated Certificate of Incorporation of the Company, as filed with the Secretary of State of the State of Delaware on July 2, 2007 (as amended to date, including by the Certificate of Amendment, the “</w:t>
      </w:r>
      <w:r>
        <w:rPr>
          <w:rFonts w:ascii="Times New Roman" w:cs="Times New Roman" w:eastAsia="Times New Roman" w:hAnsi="Times New Roman"/>
          <w:sz w:val="22"/>
          <w:szCs w:val="22"/>
          <w:b w:val="1"/>
          <w:bCs w:val="1"/>
          <w:u w:val="single" w:color="auto"/>
          <w:color w:val="auto"/>
        </w:rPr>
        <w:t>Certificate of Incorporation</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is authorized to fix by resolution the powers, designations, preferences and relative, participating, optional or other rights, and the qualifications, limitations or restrictions of any series of Preferred Stock, and to fix the number of shares constituting any such series.</w:t>
      </w:r>
    </w:p>
    <w:p>
      <w:pPr>
        <w:spacing w:after="0" w:line="17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That, pursuant to the authority conferred upon the Board by the Certificate of Incorporation, the Board, on September 25, 2025, adopted the following resolution designating a new series of Preferred Stock as “</w:t>
      </w:r>
      <w:r>
        <w:rPr>
          <w:rFonts w:ascii="Times New Roman" w:cs="Times New Roman" w:eastAsia="Times New Roman" w:hAnsi="Times New Roman"/>
          <w:sz w:val="21"/>
          <w:szCs w:val="21"/>
          <w:b w:val="1"/>
          <w:bCs w:val="1"/>
          <w:u w:val="single" w:color="auto"/>
          <w:color w:val="auto"/>
        </w:rPr>
        <w:t>Series C Convertible Preferred Stock</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RESOLVED, that, pursuant to the authority vested in the Board in accordance with the provisions of Article IV of the Certificate of Incorporation and the provisions of Section 151 of the DGCL, a series of Preferred Stock of the Company is hereby created and authorized, and the number of shares to be included in such series out of the authorized and unissued shares of Preferred Stock, and the powers, designations, preferences and relative, participating, optional or other rights, and the qualifications, limitations or restrictions of the shares of Preferred Stock included in such series, shall be as follows:</w:t>
      </w:r>
    </w:p>
    <w:p>
      <w:pPr>
        <w:spacing w:after="0" w:line="1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b w:val="1"/>
          <w:bCs w:val="1"/>
          <w:u w:val="single" w:color="auto"/>
          <w:color w:val="auto"/>
        </w:rPr>
        <w:t>Designation and Number of Shares</w:t>
      </w:r>
      <w:r>
        <w:rPr>
          <w:rFonts w:ascii="Times New Roman" w:cs="Times New Roman" w:eastAsia="Times New Roman" w:hAnsi="Times New Roman"/>
          <w:sz w:val="22"/>
          <w:szCs w:val="22"/>
          <w:color w:val="auto"/>
        </w:rPr>
        <w:t>. The shares of such series of Preferred Stock shall be designated as “Series C Convertible Preferred Stock” (the “</w:t>
      </w:r>
      <w:r>
        <w:rPr>
          <w:rFonts w:ascii="Times New Roman" w:cs="Times New Roman" w:eastAsia="Times New Roman" w:hAnsi="Times New Roman"/>
          <w:sz w:val="22"/>
          <w:szCs w:val="22"/>
          <w:b w:val="1"/>
          <w:bCs w:val="1"/>
          <w:u w:val="single" w:color="auto"/>
          <w:color w:val="auto"/>
        </w:rPr>
        <w:t>Series C Preferred Stock</w:t>
      </w:r>
      <w:r>
        <w:rPr>
          <w:rFonts w:ascii="Times New Roman" w:cs="Times New Roman" w:eastAsia="Times New Roman" w:hAnsi="Times New Roman"/>
          <w:sz w:val="22"/>
          <w:szCs w:val="22"/>
          <w:color w:val="auto"/>
        </w:rPr>
        <w:t>”). The number of authorized shares constituting the Series C Preferred Stock shall be 12,670,863. That number from time to time may be increased or decreased (but not below the number of shares of Series C Preferred Stock then outstanding) by further resolution duly adopted by the Board, or any duly authorized committee thereof, and by the filing of a certificate pursuant to the provisions of the DGCL stating that such increase or decrease, as</w:t>
      </w:r>
    </w:p>
    <w:p>
      <w:pPr>
        <w:sectPr>
          <w:pgSz w:w="11900" w:h="16838" w:orient="portrait"/>
          <w:cols w:equalWidth="0" w:num="1">
            <w:col w:w="11240"/>
          </w:cols>
          <w:pgMar w:left="320" w:top="126" w:right="339" w:bottom="1440" w:gutter="0" w:footer="0" w:header="0"/>
        </w:sectPr>
      </w:pPr>
    </w:p>
    <w:bookmarkStart w:id="11" w:name="page12"/>
    <w:bookmarkEnd w:id="1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applicable, has been so authorized subject to any consent rights of the Holders. The Company shall not have the authority to issue fractional shares of Series C Preferred Stock.</w:t>
      </w:r>
    </w:p>
    <w:p>
      <w:pPr>
        <w:spacing w:after="0" w:line="154"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b w:val="1"/>
          <w:bCs w:val="1"/>
          <w:u w:val="single" w:color="auto"/>
          <w:color w:val="auto"/>
        </w:rPr>
        <w:t>Ranking</w:t>
      </w:r>
      <w:r>
        <w:rPr>
          <w:rFonts w:ascii="Times New Roman" w:cs="Times New Roman" w:eastAsia="Times New Roman" w:hAnsi="Times New Roman"/>
          <w:sz w:val="22"/>
          <w:szCs w:val="22"/>
          <w:color w:val="auto"/>
        </w:rPr>
        <w:t>. The Series C Preferred Stock will rank, with respect to dividend rights and rights on the distribution of assets on any voluntary or involuntary liquidation, dissolution or winding up of the affairs of the Company:</w:t>
      </w:r>
    </w:p>
    <w:p>
      <w:pPr>
        <w:spacing w:after="0" w:line="141" w:lineRule="exact"/>
        <w:rPr>
          <w:sz w:val="20"/>
          <w:szCs w:val="20"/>
          <w:color w:val="auto"/>
        </w:rPr>
      </w:pPr>
    </w:p>
    <w:p>
      <w:pPr>
        <w:jc w:val="both"/>
        <w:ind w:firstLine="1304"/>
        <w:spacing w:after="0" w:line="253" w:lineRule="auto"/>
        <w:tabs>
          <w:tab w:leader="none" w:pos="194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 parity basis with each other class or series of Capital Stock (as defined below) of the Company hereafter authorized, classified or reclassified in accordance with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the terms of which expressly provide that such class or series ranks on a parity basis with the Series C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22"/>
          <w:szCs w:val="22"/>
          <w:b w:val="1"/>
          <w:bCs w:val="1"/>
          <w:u w:val="single" w:color="auto"/>
          <w:color w:val="auto"/>
        </w:rPr>
        <w:t>Parity Stock</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junior to each other class or series of Capital Stock of the Company hereafter authorized, classified or reclassified in accordance with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the terms of which expressly provide that such class or series ranks senior to the Series C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22"/>
          <w:szCs w:val="22"/>
          <w:b w:val="1"/>
          <w:bCs w:val="1"/>
          <w:u w:val="single" w:color="auto"/>
          <w:color w:val="auto"/>
        </w:rPr>
        <w:t>Senior Stock</w:t>
      </w:r>
      <w:r>
        <w:rPr>
          <w:rFonts w:ascii="Times New Roman" w:cs="Times New Roman" w:eastAsia="Times New Roman" w:hAnsi="Times New Roman"/>
          <w:sz w:val="22"/>
          <w:szCs w:val="22"/>
          <w:color w:val="auto"/>
        </w:rPr>
        <w:t>”);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senior to the Common Stock, each other currently existing class or series of Capital Stock of the Company and each class or series of Capital Stock of the Company hereafter authorized, classified or reclassified, the terms of which do not expressly provide that such class or series ranks on a parity basis with or senior to the Series C Preferred Stock as to dividend rights and rights on the distribution of assets on any voluntary or involuntary liquidation, dissolution or winding up of the affairs of the Company (such Capital Stock, “</w:t>
      </w:r>
      <w:r>
        <w:rPr>
          <w:rFonts w:ascii="Times New Roman" w:cs="Times New Roman" w:eastAsia="Times New Roman" w:hAnsi="Times New Roman"/>
          <w:sz w:val="22"/>
          <w:szCs w:val="22"/>
          <w:b w:val="1"/>
          <w:bCs w:val="1"/>
          <w:u w:val="single" w:color="auto"/>
          <w:color w:val="auto"/>
        </w:rPr>
        <w:t>Junior Stock</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herein with respect to Series C Preferred Stock:</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Affiliate</w:t>
      </w:r>
      <w:r>
        <w:rPr>
          <w:rFonts w:ascii="Times New Roman" w:cs="Times New Roman" w:eastAsia="Times New Roman" w:hAnsi="Times New Roman"/>
          <w:sz w:val="21"/>
          <w:szCs w:val="21"/>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(i) that the Company and its Subsidiaries shall not be deemed to be Affiliates of any Investor Party or any of its Affiliates, (ii) “portfolio companies” (as such term is customarily used among institutional investors) in which any Investor Party or any of its Affiliates has an investment (whether as debt or equity) shall not be deemed an Affiliate of such Investor Party and (iii) the Investor Parties shall not be deemed to be Affiliates of any other Investor Party solely as a result of their entry into the Exchange or the Exchange Agreements (each as defined in the Stockholders Agreement) or the Stockholders Agreement.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Antitrust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Antitrust Law</w:t>
      </w:r>
      <w:r>
        <w:rPr>
          <w:rFonts w:ascii="Times New Roman" w:cs="Times New Roman" w:eastAsia="Times New Roman" w:hAnsi="Times New Roman"/>
          <w:sz w:val="22"/>
          <w:szCs w:val="22"/>
          <w:color w:val="auto"/>
        </w:rPr>
        <w:t>” means the Sherman Antitrust Act, the Clayton Antitrust Act, the Hart-Scott-Rodino Antitrust Improvements Act of 1976,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Available Registration Statement</w:t>
      </w:r>
      <w:r>
        <w:rPr>
          <w:rFonts w:ascii="Times New Roman" w:cs="Times New Roman" w:eastAsia="Times New Roman" w:hAnsi="Times New Roman"/>
          <w:sz w:val="21"/>
          <w:szCs w:val="21"/>
          <w:color w:val="auto"/>
        </w:rPr>
        <w:t>” shall mean, with respect to a Registration Statement as of a date, that (a) as of such date, such Registration Statement is effective for an offering to be made on a delayed or continuous basis by the Holders, there is no stop order with respect thereto and the Company reasonably believes that such Registration Statement will be continuously available for the resale of Registrable Securities (as defined in the Registration Rights Agreement) by the Holders for the next ten</w:t>
      </w:r>
    </w:p>
    <w:p>
      <w:pPr>
        <w:spacing w:after="0" w:line="1" w:lineRule="exact"/>
        <w:rPr>
          <w:sz w:val="20"/>
          <w:szCs w:val="20"/>
          <w:color w:val="auto"/>
        </w:rPr>
      </w:pPr>
    </w:p>
    <w:p>
      <w:pPr>
        <w:jc w:val="both"/>
        <w:ind w:firstLine="8"/>
        <w:spacing w:after="0" w:line="262" w:lineRule="auto"/>
        <w:tabs>
          <w:tab w:leader="none" w:pos="445"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and (b) as of such date, (i) there is not in effect an Interruption Period, Suspension Period or Quarterly Blackout Period (as each such term is defined in the Registration Rights Agreement) and the Company does not reasonably believe that there will be in effect, during the next ten (10) Business Days, an Interruption Period, Suspension Period or Quarterly Blackout Period (as each such term is defined in the Registration Rights Agreement) and (ii) the Investor Parties are not restricted by the holdback provision of Section 2.6 of the Registration Rights Agreement or any related “lock-up” agreement.</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Any Person shall be deemed to “</w:t>
      </w:r>
      <w:r>
        <w:rPr>
          <w:rFonts w:ascii="Times New Roman" w:cs="Times New Roman" w:eastAsia="Times New Roman" w:hAnsi="Times New Roman"/>
          <w:sz w:val="22"/>
          <w:szCs w:val="22"/>
          <w:b w:val="1"/>
          <w:bCs w:val="1"/>
          <w:u w:val="single" w:color="auto"/>
          <w:color w:val="auto"/>
        </w:rPr>
        <w:t>beneficially own</w:t>
      </w:r>
      <w:r>
        <w:rPr>
          <w:rFonts w:ascii="Times New Roman" w:cs="Times New Roman" w:eastAsia="Times New Roman" w:hAnsi="Times New Roman"/>
          <w:sz w:val="22"/>
          <w:szCs w:val="22"/>
          <w:color w:val="auto"/>
        </w:rPr>
        <w:t>”, to have “</w:t>
      </w:r>
      <w:r>
        <w:rPr>
          <w:rFonts w:ascii="Times New Roman" w:cs="Times New Roman" w:eastAsia="Times New Roman" w:hAnsi="Times New Roman"/>
          <w:sz w:val="22"/>
          <w:szCs w:val="22"/>
          <w:b w:val="1"/>
          <w:bCs w:val="1"/>
          <w:u w:val="single" w:color="auto"/>
          <w:color w:val="auto"/>
        </w:rPr>
        <w:t>beneficial ownership</w:t>
      </w:r>
      <w:r>
        <w:rPr>
          <w:rFonts w:ascii="Times New Roman" w:cs="Times New Roman" w:eastAsia="Times New Roman" w:hAnsi="Times New Roman"/>
          <w:sz w:val="22"/>
          <w:szCs w:val="22"/>
          <w:color w:val="auto"/>
        </w:rPr>
        <w:t>” of, or to be “</w:t>
      </w:r>
      <w:r>
        <w:rPr>
          <w:rFonts w:ascii="Times New Roman" w:cs="Times New Roman" w:eastAsia="Times New Roman" w:hAnsi="Times New Roman"/>
          <w:sz w:val="22"/>
          <w:szCs w:val="22"/>
          <w:b w:val="1"/>
          <w:bCs w:val="1"/>
          <w:u w:val="single" w:color="auto"/>
          <w:color w:val="auto"/>
        </w:rPr>
        <w:t>beneficially owning</w:t>
      </w:r>
      <w:r>
        <w:rPr>
          <w:rFonts w:ascii="Times New Roman" w:cs="Times New Roman" w:eastAsia="Times New Roman" w:hAnsi="Times New Roman"/>
          <w:sz w:val="22"/>
          <w:szCs w:val="22"/>
          <w:color w:val="auto"/>
        </w:rPr>
        <w:t xml:space="preserve">” any securities (which securities shall also be deemed “beneficially owned” by such Person) that such Person is deemed to “beneficially own” within the meaning of Rules 13d-3 and 13d-5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Person shall be deemed to beneficially own any securities that such Person has the right to acquire, whether or not such right is exercisable within sixty (60) days or thereafter (including assuming conversion of all Series C Preferred Stock, if any, owned by such Person to Common Stock).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has the meaning set forth in the recitals above.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Day</w:t>
      </w:r>
      <w:r>
        <w:rPr>
          <w:rFonts w:ascii="Times New Roman" w:cs="Times New Roman" w:eastAsia="Times New Roman" w:hAnsi="Times New Roman"/>
          <w:sz w:val="22"/>
          <w:szCs w:val="22"/>
          <w:color w:val="auto"/>
        </w:rPr>
        <w:t>” means any weekday that is not a day on which banking institutions in New York, New York are authorized or required by law, regulation or executive order to be closed.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Bylaws</w:t>
      </w:r>
      <w:r>
        <w:rPr>
          <w:rFonts w:ascii="Times New Roman" w:cs="Times New Roman" w:eastAsia="Times New Roman" w:hAnsi="Times New Roman"/>
          <w:sz w:val="22"/>
          <w:szCs w:val="22"/>
          <w:color w:val="auto"/>
        </w:rPr>
        <w:t>” means the Amended and Restated Bylaws of the Company, as amended and as may be amended from time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Capital Stock</w:t>
      </w:r>
      <w:r>
        <w:rPr>
          <w:rFonts w:ascii="Times New Roman" w:cs="Times New Roman" w:eastAsia="Times New Roman" w:hAnsi="Times New Roman"/>
          <w:sz w:val="22"/>
          <w:szCs w:val="22"/>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Certificate of Amendment</w:t>
      </w:r>
      <w:r>
        <w:rPr>
          <w:rFonts w:ascii="Times New Roman" w:cs="Times New Roman" w:eastAsia="Times New Roman" w:hAnsi="Times New Roman"/>
          <w:sz w:val="22"/>
          <w:szCs w:val="22"/>
          <w:color w:val="auto"/>
        </w:rPr>
        <w:t>” has the meaning set forth in the recitals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Certificate of Designations</w:t>
      </w:r>
      <w:r>
        <w:rPr>
          <w:rFonts w:ascii="Times New Roman" w:cs="Times New Roman" w:eastAsia="Times New Roman" w:hAnsi="Times New Roman"/>
          <w:sz w:val="22"/>
          <w:szCs w:val="22"/>
          <w:color w:val="auto"/>
        </w:rPr>
        <w:t>” means this Certificate of Designations relating to the Series C Preferred Stock, as it may be amended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Certificate of Incorporation</w:t>
      </w:r>
      <w:r>
        <w:rPr>
          <w:rFonts w:ascii="Times New Roman" w:cs="Times New Roman" w:eastAsia="Times New Roman" w:hAnsi="Times New Roman"/>
          <w:sz w:val="22"/>
          <w:szCs w:val="22"/>
          <w:color w:val="auto"/>
        </w:rPr>
        <w:t>” has the meaning set forth in the recitals above.</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means the occurrence of one of the following, whether in a single transaction or a series of transactions, directly or indirectly:</w:t>
      </w:r>
    </w:p>
    <w:p>
      <w:pPr>
        <w:spacing w:after="0" w:line="153" w:lineRule="exact"/>
        <w:rPr>
          <w:sz w:val="20"/>
          <w:szCs w:val="20"/>
          <w:color w:val="auto"/>
        </w:rPr>
      </w:pPr>
    </w:p>
    <w:p>
      <w:pPr>
        <w:jc w:val="both"/>
        <w:ind w:firstLine="656"/>
        <w:spacing w:after="0" w:line="263" w:lineRule="auto"/>
        <w:tabs>
          <w:tab w:leader="none" w:pos="1293"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or “group” (as such terms are used in Sections 13(d) and 14(d) of the Exchange Act) is or becomes the “beneficial owner” (as defined in Rules 13d-3 and 13d-5 under the Exchange Act), directly or indirectly, of a majority of the total voting power of the Voting Stock of the Company, other than as a result of a transaction, or a series of related transactions,</w:t>
      </w:r>
    </w:p>
    <w:p>
      <w:pPr>
        <w:spacing w:after="0" w:line="1" w:lineRule="exact"/>
        <w:rPr>
          <w:rFonts w:ascii="Times New Roman" w:cs="Times New Roman" w:eastAsia="Times New Roman" w:hAnsi="Times New Roman"/>
          <w:sz w:val="21"/>
          <w:szCs w:val="21"/>
          <w:color w:val="auto"/>
        </w:rPr>
      </w:pPr>
    </w:p>
    <w:p>
      <w:pPr>
        <w:jc w:val="both"/>
        <w:ind w:firstLine="8"/>
        <w:spacing w:after="0" w:line="260" w:lineRule="auto"/>
        <w:tabs>
          <w:tab w:leader="none" w:pos="27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which (1) the holders of securities that represented 100% of the Voting Stock of the Company immediately prior to such transaction are substantially the same as the holders of securities that represent a majority of the Voting Stock of the surviving Person or its Parent Entity immediately following such transaction and (2) the holders of securities that represented 100% of the Voting Stock of the Company immediately prior to such transaction own directly or indirectly Voting Stock of the surviving Person or its Parent Entity in substantially the same proportion to each other as immediately prior to such transaction or (ii) solely with respect to a holder of Series C Preferred Stock, in which such holder (and, for the avoidance of doubt, not any other holder unless such holder and any other holder are acting as a “group” (as such term is used in Sections 13(d) and 14(d) of the Exchange Act)) and/or its Affiliates acquires, directly or indirectly, a majority of the total voting power of the Voting Stock of the Company, with or without regard to any limitations on voting of any Voting Stock contained herein or otherwise;</w:t>
      </w:r>
    </w:p>
    <w:p>
      <w:pPr>
        <w:spacing w:after="0" w:line="171" w:lineRule="exact"/>
        <w:rPr>
          <w:rFonts w:ascii="Times New Roman" w:cs="Times New Roman" w:eastAsia="Times New Roman" w:hAnsi="Times New Roman"/>
          <w:sz w:val="21"/>
          <w:szCs w:val="21"/>
          <w:color w:val="auto"/>
        </w:rPr>
      </w:pPr>
    </w:p>
    <w:p>
      <w:pPr>
        <w:jc w:val="both"/>
        <w:ind w:firstLine="656"/>
        <w:spacing w:after="0" w:line="261" w:lineRule="auto"/>
        <w:tabs>
          <w:tab w:leader="none" w:pos="1291"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merger or consolidation of the Company with or into another Person or the merger of another Person with or into the Company, or the sale, transfer, license or lease of all or substantially all of the assets of the Company (determined on a consolidated basis), whether in a single transaction or a series of transactions, to another Person, or any recapitalization, reclassification or other transaction in which all or substantially all of the Common Stock is exchanged for or converted into cash, securities or other property, other than (i) in the case of a merger or consolidation, a transaction, or a series of related transactions, following which holders of securities that represented 100% of the Voting Stock of the Company immediately prior to such transaction own directly or indirectly (in substantially the same proportion to each other as immediately prior to such transaction, other than changes in proportionality as a result of any cash/stock election provided under the terms of the definitive agreement regarding such transaction) at least a majority of the voting power of the Voting Stock of the surviving Person in such transaction immediately after such transaction, (ii) in the case of a sale, transfer, license or lease of all or substantially all of the assets of the Company, to a Subsidiary or a Person that becomes a Subsidiary of the Company or (iii) solely with respect to a holder of Series C Preferred Stock, a transaction, or a series of related transactions, in which such holder (and, for the avoidance of doubt, not any other holder unless such holder and any other holder are acting as a “group” (as such term is used in Sections 13(d) and 14(d) of the Exchange Act)) and/or its Affiliates acquires, directly or indirectly, a majority of the total voting power of the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Company, with or without regard to any limitations on voting of any Voting Stock contained herein or otherwise; or</w:t>
      </w:r>
    </w:p>
    <w:p>
      <w:pPr>
        <w:spacing w:after="0" w:line="220" w:lineRule="exact"/>
        <w:rPr>
          <w:sz w:val="20"/>
          <w:szCs w:val="20"/>
          <w:color w:val="auto"/>
        </w:rPr>
      </w:pPr>
    </w:p>
    <w:p>
      <w:pPr>
        <w:jc w:val="both"/>
        <w:ind w:firstLine="656"/>
        <w:spacing w:after="0" w:line="263"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shares of Common Stock or shares of any other Capital Stock into which the Series C Preferred Stock is convertible are not listed for trading on any United States national securities exchange or cease to be traded in contemplation of a delisting (other than as a result of a transaction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Call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Call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Election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Purchase Date</w:t>
      </w:r>
      <w:r>
        <w:rPr>
          <w:rFonts w:ascii="Times New Roman" w:cs="Times New Roman" w:eastAsia="Times New Roman" w:hAnsi="Times New Roman"/>
          <w:sz w:val="22"/>
          <w:szCs w:val="22"/>
          <w:color w:val="auto"/>
        </w:rPr>
        <w:t>” means, with respect to each share of Series C Preferred Stock, the date on which the Company makes the payment in full of the Change of Control Put Price for such share to the Holder thereof or to the Transfer Agent, irrevocably, for the benefit of such Holder.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Put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Put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of Control Put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close of business</w:t>
      </w:r>
      <w:r>
        <w:rPr>
          <w:rFonts w:ascii="Times New Roman" w:cs="Times New Roman" w:eastAsia="Times New Roman" w:hAnsi="Times New Roman"/>
          <w:sz w:val="22"/>
          <w:szCs w:val="22"/>
          <w:color w:val="auto"/>
        </w:rPr>
        <w:t>” means 5:00 p.m. (New York City time).</w:t>
      </w:r>
    </w:p>
    <w:p>
      <w:pPr>
        <w:spacing w:after="0" w:line="22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Closing Price</w:t>
      </w:r>
      <w:r>
        <w:rPr>
          <w:rFonts w:ascii="Times New Roman" w:cs="Times New Roman" w:eastAsia="Times New Roman" w:hAnsi="Times New Roman"/>
          <w:sz w:val="21"/>
          <w:szCs w:val="21"/>
          <w:color w:val="auto"/>
        </w:rPr>
        <w:t>” of the Common Stock on any date of determination means the closing sale price or, if no closing sale price is reported, the last reported sale price, of the shares of the Common Stock on the NASDAQ on such date. If the Common Stock is not traded on the NASDAQ on any date of determination, the Closing Price of the Common Stock on such date of determination means the closing sale price as reported in the composite transactions for the principal United States securities exchange or automated quotation system on which the Common Stock is so listed or quoted, or, if no closing sale price is reported, the last reported sale price on the principal United States securities exchange or automated quotation system on which the Common Stock is so listed or quoted, or if the Common Stock is not so listed or quoted on a United States securities exchange or automated quotation system, the last quoted bid price for the Common Stock in the over-the-counter market as reported by OTC Markets Group Inc. or any similar organization, or, if that bid price is not available, the market price of the Common Stock on that date as determined by an Independent Financial Advisor retained by the Company for such purpose.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xml:space="preserve">” has the meaning set forth in the recitals above, 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has the meaning set forth in the recitals above.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Constituent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Agent</w:t>
      </w:r>
      <w:r>
        <w:rPr>
          <w:rFonts w:ascii="Times New Roman" w:cs="Times New Roman" w:eastAsia="Times New Roman" w:hAnsi="Times New Roman"/>
          <w:sz w:val="22"/>
          <w:szCs w:val="22"/>
          <w:color w:val="auto"/>
        </w:rPr>
        <w:t>” means the Transfer Agent, acting in its capacity as conversion agent for the Series C Preferred Stock, and its successors and assigns.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Factor</w:t>
      </w:r>
      <w:r>
        <w:rPr>
          <w:rFonts w:ascii="Times New Roman" w:cs="Times New Roman" w:eastAsia="Times New Roman" w:hAnsi="Times New Roman"/>
          <w:sz w:val="22"/>
          <w:szCs w:val="22"/>
          <w:color w:val="auto"/>
        </w:rPr>
        <w:t xml:space="preserve">” means 1, subject to adjustment in accordance with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8(a)(i)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Price</w:t>
      </w:r>
      <w:r>
        <w:rPr>
          <w:rFonts w:ascii="Times New Roman" w:cs="Times New Roman" w:eastAsia="Times New Roman" w:hAnsi="Times New Roman"/>
          <w:sz w:val="22"/>
          <w:szCs w:val="22"/>
          <w:color w:val="auto"/>
        </w:rPr>
        <w:t>” means, for each share of Series C Preferred Stock at any time, a dollar amount equal to the Purchase Price divided by the Conversion Factor as of such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Quarter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Conversion Rate</w:t>
      </w:r>
      <w:r>
        <w:rPr>
          <w:rFonts w:ascii="Times New Roman" w:cs="Times New Roman" w:eastAsia="Times New Roman" w:hAnsi="Times New Roman"/>
          <w:sz w:val="22"/>
          <w:szCs w:val="22"/>
          <w:color w:val="auto"/>
        </w:rPr>
        <w:t>” means the product of (i) the Conversion Factor and (ii) 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Covered Repurchase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Current Market Price</w:t>
      </w:r>
      <w:r>
        <w:rPr>
          <w:rFonts w:ascii="Times New Roman" w:cs="Times New Roman" w:eastAsia="Times New Roman" w:hAnsi="Times New Roman"/>
          <w:sz w:val="22"/>
          <w:szCs w:val="22"/>
          <w:color w:val="auto"/>
        </w:rPr>
        <w:t xml:space="preserve">” per share of Common Stock, as of any date of determination, means the arithmetic average of the VWAP per share of Common Stock for each of the ten (10) consecutive full Trading Days ending on and including the Trading Day immediately preceding such day, and solely with respect to such term’s use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appropriately adjusted to take into account the occurrence during such period of any event described in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DGCL</w:t>
      </w:r>
      <w:r>
        <w:rPr>
          <w:rFonts w:ascii="Times New Roman" w:cs="Times New Roman" w:eastAsia="Times New Roman" w:hAnsi="Times New Roman"/>
          <w:sz w:val="22"/>
          <w:szCs w:val="22"/>
          <w:color w:val="auto"/>
        </w:rPr>
        <w:t>” has the meaning set forth in the recitals above.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Distributed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10(a)(iv)</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Distribution Transaction</w:t>
      </w:r>
      <w:r>
        <w:rPr>
          <w:rFonts w:ascii="Times New Roman" w:cs="Times New Roman" w:eastAsia="Times New Roman" w:hAnsi="Times New Roman"/>
          <w:sz w:val="22"/>
          <w:szCs w:val="22"/>
          <w:color w:val="auto"/>
        </w:rPr>
        <w:t>” means any distribution of equity securities of a Subsidiary of the Company to holders of Common Stock, whether by means of a spin-off, split-off, redemption, reclassification, exchange, stock dividend, share distribution, rights offering or similar transaction.</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10(a)(iii)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with respect to any security or other property, the fair market value of such security or other property as reasonably determined in good faith by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majority of the Board, or an authorized committee thereof, (i) after consultation with an Independent Financial Advisor, as to any security or other property with a Fair Market Value of less than $25,000,000, or (ii) otherwise using an Independent Financial Advisor to provide a valuation opinion.</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Authority</w:t>
      </w:r>
      <w:r>
        <w:rPr>
          <w:rFonts w:ascii="Times New Roman" w:cs="Times New Roman" w:eastAsia="Times New Roman" w:hAnsi="Times New Roman"/>
          <w:sz w:val="22"/>
          <w:szCs w:val="22"/>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Holder</w:t>
      </w:r>
      <w:r>
        <w:rPr>
          <w:rFonts w:ascii="Times New Roman" w:cs="Times New Roman" w:eastAsia="Times New Roman" w:hAnsi="Times New Roman"/>
          <w:sz w:val="22"/>
          <w:szCs w:val="22"/>
          <w:color w:val="auto"/>
        </w:rPr>
        <w:t xml:space="preserve">” means a Person in whose name the shares of the Series C Preferred Stock are registered, which Person shall be treated by the Company, Transfer Agent, Registrar, paying agent and Conversion Agent as the absolute owner of the shares of Series C Preferred Stock for the purpose of making payment and settling conversions and for all other purposes (other than U.S. federal income tax purposes if the Holder is a disregarded entity for U.S. federal income tax purposes, in which case the regarded owner of the Holder shall be treated as the owner of such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fullest extent permitted by law, no Person that has received shares of Series C Preferred Stock in violation of the Stockholders Agreement shall be a Holder, the Transfer Agent, Registrar, paying agent and Conversion Agent, as applicable, shall not, unless directed otherwise by the Company, recognize any such Person as a Holder and the Person in whose name the shares of the Series C Preferred Stock were registered immediately prior to such transfer shall remain the Holder of such shares.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Independent Financial Advisor</w:t>
      </w:r>
      <w:r>
        <w:rPr>
          <w:rFonts w:ascii="Times New Roman" w:cs="Times New Roman" w:eastAsia="Times New Roman" w:hAnsi="Times New Roman"/>
          <w:sz w:val="22"/>
          <w:szCs w:val="22"/>
          <w:color w:val="auto"/>
        </w:rPr>
        <w:t xml:space="preserve">” means an accounting, appraisal, investment banking firm or consultant of nationally recognized standing;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firm or consultant is not an Affiliate of the Company and shall be reasonably acceptable to the Holders of a majority of the shares of Series C Preferred Stock outstanding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Initial Change of Control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Investor Parties</w:t>
      </w:r>
      <w:r>
        <w:rPr>
          <w:rFonts w:ascii="Times New Roman" w:cs="Times New Roman" w:eastAsia="Times New Roman" w:hAnsi="Times New Roman"/>
          <w:sz w:val="22"/>
          <w:szCs w:val="22"/>
          <w:color w:val="auto"/>
        </w:rPr>
        <w:t>” means the Investors and each Permitted Transferee of the Investors to whom shares of Series C Preferred Stock or Common Stock are Transferred pursuant to Section 3.1 of the Stockholders Agreement (or who has acquired any shares of Series C Preferred Stock or Common Stock pursuant to Section 3.2 of the Stockholders Agreement).</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Investors</w:t>
      </w:r>
      <w:r>
        <w:rPr>
          <w:rFonts w:ascii="Times New Roman" w:cs="Times New Roman" w:eastAsia="Times New Roman" w:hAnsi="Times New Roman"/>
          <w:sz w:val="22"/>
          <w:szCs w:val="22"/>
          <w:color w:val="auto"/>
        </w:rPr>
        <w:t>” means, collectively, (i) Charter Communications Holding Company, LLC, a Delaware limited liability company, (ii) Liberty Broadband Corporation, a Delaware corporation, and (iii) Pine Investor, LLC, a Delaware limited liability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Issuance Date</w:t>
      </w:r>
      <w:r>
        <w:rPr>
          <w:rFonts w:ascii="Times New Roman" w:cs="Times New Roman" w:eastAsia="Times New Roman" w:hAnsi="Times New Roman"/>
          <w:sz w:val="22"/>
          <w:szCs w:val="22"/>
          <w:color w:val="auto"/>
        </w:rPr>
        <w:t>” means, with respect to any share of Series C Preferred Stock, the date of issuance of such share.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Junior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Liquidation Preference</w:t>
      </w:r>
      <w:r>
        <w:rPr>
          <w:rFonts w:ascii="Times New Roman" w:cs="Times New Roman" w:eastAsia="Times New Roman" w:hAnsi="Times New Roman"/>
          <w:sz w:val="22"/>
          <w:szCs w:val="22"/>
          <w:color w:val="auto"/>
        </w:rPr>
        <w:t>” means, with respect to any share of Series C Preferred Stock, as of any date, the Purchase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Price.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Mandatory Conversion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Mandatory Conversion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Mandatory Conversion Price</w:t>
      </w:r>
      <w:r>
        <w:rPr>
          <w:rFonts w:ascii="Times New Roman" w:cs="Times New Roman" w:eastAsia="Times New Roman" w:hAnsi="Times New Roman"/>
          <w:sz w:val="22"/>
          <w:szCs w:val="22"/>
          <w:color w:val="auto"/>
        </w:rPr>
        <w:t>” means, at any time, 130% of the Conversion Price as of such time. The Mandatory Conversion Price shall initially be $18.85.</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Mandatory Conversion Trigger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Market Disruption Event</w:t>
      </w:r>
      <w:r>
        <w:rPr>
          <w:rFonts w:ascii="Times New Roman" w:cs="Times New Roman" w:eastAsia="Times New Roman" w:hAnsi="Times New Roman"/>
          <w:sz w:val="22"/>
          <w:szCs w:val="22"/>
          <w:color w:val="auto"/>
        </w:rPr>
        <w:t>” means any of the following events:</w:t>
      </w:r>
    </w:p>
    <w:p>
      <w:pPr>
        <w:spacing w:after="0" w:line="224" w:lineRule="exact"/>
        <w:rPr>
          <w:sz w:val="20"/>
          <w:szCs w:val="20"/>
          <w:color w:val="auto"/>
        </w:rPr>
      </w:pPr>
    </w:p>
    <w:p>
      <w:pPr>
        <w:jc w:val="both"/>
        <w:ind w:firstLine="656"/>
        <w:spacing w:after="0" w:line="253" w:lineRule="auto"/>
        <w:tabs>
          <w:tab w:leader="none" w:pos="129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suspension of, or limitation imposed on, trading of the Common Stock or options contracts relating to the Common Stock by the NASDAQ during the one-hour period prior to the close of trading for the regular trading session on the NASDAQ (or for purposes of determining the VWAP per share of Common Stock, any period or periods aggregating one half-hour or longer during the regular trading session on the relevant day) whether by reason of movements in price exceeding limits permitted by the NASDAQ or otherwise; or</w:t>
      </w:r>
    </w:p>
    <w:p>
      <w:pPr>
        <w:spacing w:after="0" w:line="178" w:lineRule="exact"/>
        <w:rPr>
          <w:rFonts w:ascii="Times New Roman" w:cs="Times New Roman" w:eastAsia="Times New Roman" w:hAnsi="Times New Roman"/>
          <w:sz w:val="22"/>
          <w:szCs w:val="22"/>
          <w:color w:val="auto"/>
        </w:rPr>
      </w:pPr>
    </w:p>
    <w:p>
      <w:pPr>
        <w:jc w:val="both"/>
        <w:ind w:firstLine="656"/>
        <w:spacing w:after="0" w:line="262" w:lineRule="auto"/>
        <w:tabs>
          <w:tab w:leader="none" w:pos="1291"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that disrupts or impairs (as determined by the Company in its reasonable discretion) the ability of market participants during the one-hour period prior to the close of trading for the regular trading session on the NASDAQ (or for purposes of determining the VWAP per share of Common Stock, any period or periods aggregating one half-hour or longer during the regular trading session on the relevant day) to effect transactions in, or obtain market values for, the Common Stock on the NASDAQ or to effect transactions in, or obtain market values for, options contracts relating to the Common Stock on the</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NASDAQ.</w:t>
      </w:r>
    </w:p>
    <w:p>
      <w:pPr>
        <w:spacing w:after="0" w:line="19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NASDAQ</w:t>
      </w:r>
      <w:r>
        <w:rPr>
          <w:rFonts w:ascii="Times New Roman" w:cs="Times New Roman" w:eastAsia="Times New Roman" w:hAnsi="Times New Roman"/>
          <w:sz w:val="22"/>
          <w:szCs w:val="22"/>
          <w:color w:val="auto"/>
        </w:rPr>
        <w:t>” means the Nasdaq Global Select Market and any successor stock exchange or inter-dealer quotation system operated by the Nasdaq Global Select Market or any successor thereto, or any other national securities exchange on which the Common Stock is listed.</w:t>
      </w:r>
    </w:p>
    <w:p>
      <w:pPr>
        <w:spacing w:after="0" w:line="16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Neutral Manner</w:t>
      </w:r>
      <w:r>
        <w:rPr>
          <w:rFonts w:ascii="Times New Roman" w:cs="Times New Roman" w:eastAsia="Times New Roman" w:hAnsi="Times New Roman"/>
          <w:sz w:val="22"/>
          <w:szCs w:val="22"/>
          <w:color w:val="auto"/>
        </w:rPr>
        <w:t>” means in the same proportion as the outstanding Common Stock (excluding any and all Common Stock beneficially owned, directly or indirectly, by the Investor Parties) voted on the relevant matters.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of Mandatory Conversion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Officer’s Certificate</w:t>
      </w:r>
      <w:r>
        <w:rPr>
          <w:rFonts w:ascii="Times New Roman" w:cs="Times New Roman" w:eastAsia="Times New Roman" w:hAnsi="Times New Roman"/>
          <w:sz w:val="22"/>
          <w:szCs w:val="22"/>
          <w:color w:val="auto"/>
        </w:rPr>
        <w:t>” means a certificate signed by the Chief Executive Officer, the Chief Financial Officer or the Secretary of the Company.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Original Issuance Date</w:t>
      </w:r>
      <w:r>
        <w:rPr>
          <w:rFonts w:ascii="Times New Roman" w:cs="Times New Roman" w:eastAsia="Times New Roman" w:hAnsi="Times New Roman"/>
          <w:sz w:val="22"/>
          <w:szCs w:val="22"/>
          <w:color w:val="auto"/>
        </w:rPr>
        <w:t>” means the Closing Date, as defined in the Stockholders Agreement.</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 Entity</w:t>
      </w:r>
      <w:r>
        <w:rPr>
          <w:rFonts w:ascii="Times New Roman" w:cs="Times New Roman" w:eastAsia="Times New Roman" w:hAnsi="Times New Roman"/>
          <w:sz w:val="22"/>
          <w:szCs w:val="22"/>
          <w:color w:val="auto"/>
        </w:rPr>
        <w:t>” means, with respect to any Person, any other Person of which such first Person is a direct or indirect wholly owned Subsidiary.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Parity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Participating Dividend</w:t>
      </w:r>
      <w:r>
        <w:rPr>
          <w:rFonts w:ascii="Times New Roman" w:cs="Times New Roman" w:eastAsia="Times New Roman" w:hAnsi="Times New Roman"/>
          <w:sz w:val="22"/>
          <w:szCs w:val="22"/>
          <w:color w:val="auto"/>
        </w:rPr>
        <w:t>” has the meaning set forth in Section 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Participating Dividend Record Date</w:t>
      </w:r>
      <w:r>
        <w:rPr>
          <w:rFonts w:ascii="Times New Roman" w:cs="Times New Roman" w:eastAsia="Times New Roman" w:hAnsi="Times New Roman"/>
          <w:sz w:val="22"/>
          <w:szCs w:val="22"/>
          <w:color w:val="auto"/>
        </w:rPr>
        <w:t>” has the meaning set forth in Section 4(b).</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Permitted Transferee</w:t>
      </w:r>
      <w:r>
        <w:rPr>
          <w:rFonts w:ascii="Times New Roman" w:cs="Times New Roman" w:eastAsia="Times New Roman" w:hAnsi="Times New Roman"/>
          <w:sz w:val="22"/>
          <w:szCs w:val="22"/>
          <w:color w:val="auto"/>
        </w:rPr>
        <w:t>” has the meaning set forth in the Stockholders Agreement.</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means any individual, corporation, estate, partnership, joint venture, association, joint-stock company, limited liability company, trust, unincorporated organization or any other entity.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Preferred Stock</w:t>
      </w:r>
      <w:r>
        <w:rPr>
          <w:rFonts w:ascii="Times New Roman" w:cs="Times New Roman" w:eastAsia="Times New Roman" w:hAnsi="Times New Roman"/>
          <w:sz w:val="22"/>
          <w:szCs w:val="22"/>
          <w:color w:val="auto"/>
        </w:rPr>
        <w:t>” has the meaning set forth in the recitals above.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Protective Payment Obligations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means, for each share of Series C Preferred Stock, a dollar amount equal to $14.50.</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Record Date</w:t>
      </w:r>
      <w:r>
        <w:rPr>
          <w:rFonts w:ascii="Times New Roman" w:cs="Times New Roman" w:eastAsia="Times New Roman" w:hAnsi="Times New Roman"/>
          <w:sz w:val="22"/>
          <w:szCs w:val="22"/>
          <w:color w:val="auto"/>
        </w:rPr>
        <w:t>” means, with respect to any dividend, distribution or other transaction or event in which holders of Common Stock have the right to receive any cash, securities or other property or in which Common Stock is exchanged for or converted into any combination of cash, securities or other property, the date fixed for determination of holders of Common Stock entitled to receive such cash, securities or other property (whether such date is fixed by the Board or by statute, contract or otherwise).</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Registrar</w:t>
      </w:r>
      <w:r>
        <w:rPr>
          <w:rFonts w:ascii="Times New Roman" w:cs="Times New Roman" w:eastAsia="Times New Roman" w:hAnsi="Times New Roman"/>
          <w:sz w:val="22"/>
          <w:szCs w:val="22"/>
          <w:color w:val="auto"/>
        </w:rPr>
        <w:t>” means the Transfer Agent, acting in its capacity as registrar for the Series C Preferred Stock, and its successors and assigns.</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Registration Rights Agreement</w:t>
      </w:r>
      <w:r>
        <w:rPr>
          <w:rFonts w:ascii="Times New Roman" w:cs="Times New Roman" w:eastAsia="Times New Roman" w:hAnsi="Times New Roman"/>
          <w:sz w:val="22"/>
          <w:szCs w:val="22"/>
          <w:color w:val="auto"/>
        </w:rPr>
        <w:t>” means that certain Registration Rights Agreement by and among the Company and the purchasers party thereto dated as of March 10, 2021 as it may be amended, supplemented or otherwise modified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Registration Statement</w:t>
      </w:r>
      <w:r>
        <w:rPr>
          <w:rFonts w:ascii="Times New Roman" w:cs="Times New Roman" w:eastAsia="Times New Roman" w:hAnsi="Times New Roman"/>
          <w:sz w:val="22"/>
          <w:szCs w:val="22"/>
          <w:color w:val="auto"/>
        </w:rPr>
        <w:t>” has the meaning set forth in the Registration Rights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Reorganization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Senior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Series C Preferred Stock</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Stockholders Agreement</w:t>
      </w:r>
      <w:r>
        <w:rPr>
          <w:rFonts w:ascii="Times New Roman" w:cs="Times New Roman" w:eastAsia="Times New Roman" w:hAnsi="Times New Roman"/>
          <w:sz w:val="22"/>
          <w:szCs w:val="22"/>
          <w:color w:val="auto"/>
        </w:rPr>
        <w:t>” means that certain Second Amended and Restated Stockholders Agreement by and among the Company and the Investors dated as of December 29, 2025, as it may be amended, supplemented or otherwise modified from time to time, with respect to certain terms and conditions concerning, among other things, the rights of and restrictions on the Holders.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managing member or general (or equivalent) partner of such partnership, association or other business entity.</w:t>
      </w:r>
    </w:p>
    <w:p>
      <w:pPr>
        <w:spacing w:after="0" w:line="18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Trading Day</w:t>
      </w:r>
      <w:r>
        <w:rPr>
          <w:rFonts w:ascii="Times New Roman" w:cs="Times New Roman" w:eastAsia="Times New Roman" w:hAnsi="Times New Roman"/>
          <w:sz w:val="22"/>
          <w:szCs w:val="22"/>
          <w:color w:val="auto"/>
        </w:rPr>
        <w:t>” means a Business Day on which the NASDAQ is scheduled to be open for business and on which there has not occurred a Market Disruption Event.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 has the meaning set forth in the Stockholders Agreement.</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Agent</w:t>
      </w:r>
      <w:r>
        <w:rPr>
          <w:rFonts w:ascii="Times New Roman" w:cs="Times New Roman" w:eastAsia="Times New Roman" w:hAnsi="Times New Roman"/>
          <w:sz w:val="22"/>
          <w:szCs w:val="22"/>
          <w:color w:val="auto"/>
        </w:rPr>
        <w:t>” means the Person acting as Transfer Agent, Registrar and paying agent and Conversion Agent for the Series C Preferred Stock and its successors and assigns. The initial Transfer Agent shall be Equiniti Trust Company, LLC.</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Trigger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10(a)(vii)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Voting Stock</w:t>
      </w:r>
      <w:r>
        <w:rPr>
          <w:rFonts w:ascii="Times New Roman" w:cs="Times New Roman" w:eastAsia="Times New Roman" w:hAnsi="Times New Roman"/>
          <w:sz w:val="22"/>
          <w:szCs w:val="22"/>
          <w:color w:val="auto"/>
        </w:rPr>
        <w:t>” means (i) with respect to the Company, the Common Stock, the Series C Preferred Stock (subject to the limitations set forth herein)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Voting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VWAP</w:t>
      </w:r>
      <w:r>
        <w:rPr>
          <w:rFonts w:ascii="Times New Roman" w:cs="Times New Roman" w:eastAsia="Times New Roman" w:hAnsi="Times New Roman"/>
          <w:sz w:val="22"/>
          <w:szCs w:val="22"/>
          <w:color w:val="auto"/>
        </w:rPr>
        <w:t>” per share of Common Stock on any Trading Day means the per share volume-weighted average price as displayed under the heading Bloomberg VWAP on Bloomberg (or, if Bloomberg ceases to publish such price, any successor service reasonably chosen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Company) page “</w:t>
      </w:r>
      <w:r>
        <w:rPr>
          <w:rFonts w:ascii="Times New Roman" w:cs="Times New Roman" w:eastAsia="Times New Roman" w:hAnsi="Times New Roman"/>
          <w:sz w:val="22"/>
          <w:szCs w:val="22"/>
          <w:b w:val="1"/>
          <w:bCs w:val="1"/>
          <w:u w:val="single" w:color="auto"/>
          <w:color w:val="auto"/>
        </w:rPr>
        <w:t>SCOR &lt;equity&gt; AQR</w:t>
      </w:r>
      <w:r>
        <w:rPr>
          <w:rFonts w:ascii="Times New Roman" w:cs="Times New Roman" w:eastAsia="Times New Roman" w:hAnsi="Times New Roman"/>
          <w:sz w:val="22"/>
          <w:szCs w:val="22"/>
          <w:color w:val="auto"/>
        </w:rPr>
        <w:t>” (or its equivalent successor if such page is not available) in respect of the period from the open of trading on the relevant Trading Day until the close of trading on such Trading Day (or if such volume-weighted average price is unavailable, the market price of one share of Common Stock on such Trading Day determined, using a volume-weighted average method, by an Independent Financial Advisor retained for such purpose by the Company).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b w:val="1"/>
          <w:bCs w:val="1"/>
          <w:u w:val="single" w:color="auto"/>
          <w:color w:val="auto"/>
        </w:rPr>
        <w:t>Dividends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1304"/>
        <w:spacing w:after="0" w:line="271"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xml:space="preserve"> Except as set forth below or otherwise provided herein, the Series C Preferred Stock shall not be entitled to receive dividends.</w:t>
      </w:r>
    </w:p>
    <w:p>
      <w:pPr>
        <w:spacing w:after="0" w:line="15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on Junior Stock and Parity Stock</w:t>
      </w:r>
      <w:r>
        <w:rPr>
          <w:rFonts w:ascii="Times New Roman" w:cs="Times New Roman" w:eastAsia="Times New Roman" w:hAnsi="Times New Roman"/>
          <w:sz w:val="22"/>
          <w:szCs w:val="22"/>
          <w:color w:val="auto"/>
        </w:rPr>
        <w:t xml:space="preserve">. Subject to the provisions of this Certificate of Designations, dividends may be declared by the Board or any duly authorized committee thereof on any Junior Stock and Parity Stock from time to time. Holders shall fully participate, on an as-converted basis, in any dividends declared and paid or distributions on the Common Stock as if the Series C Preferred Stock were converted, at the Conversion Rate in effect on the Record Date for such dividend or distribution,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into shares of Common Stock (without regard to any limitations on conversion) immediately prior to such Record Date (such dividend or distribution on the Series C Preferred Stock, a “</w:t>
      </w:r>
      <w:r>
        <w:rPr>
          <w:rFonts w:ascii="Times New Roman" w:cs="Times New Roman" w:eastAsia="Times New Roman" w:hAnsi="Times New Roman"/>
          <w:sz w:val="22"/>
          <w:szCs w:val="22"/>
          <w:b w:val="1"/>
          <w:bCs w:val="1"/>
          <w:color w:val="auto"/>
        </w:rPr>
        <w:t>Participating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Dividend</w:t>
      </w:r>
      <w:r>
        <w:rPr>
          <w:rFonts w:ascii="Times New Roman" w:cs="Times New Roman" w:eastAsia="Times New Roman" w:hAnsi="Times New Roman"/>
          <w:sz w:val="22"/>
          <w:szCs w:val="22"/>
          <w:color w:val="auto"/>
        </w:rPr>
        <w:t>”), as and when paid with respect to the Common Stock and using the same Record Date as is used for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(the record date for any such dividend, a “</w:t>
      </w:r>
      <w:r>
        <w:rPr>
          <w:rFonts w:ascii="Times New Roman" w:cs="Times New Roman" w:eastAsia="Times New Roman" w:hAnsi="Times New Roman"/>
          <w:sz w:val="22"/>
          <w:szCs w:val="22"/>
          <w:b w:val="1"/>
          <w:bCs w:val="1"/>
          <w:color w:val="auto"/>
        </w:rPr>
        <w:t>Participating Dividend Record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Holders shall not be entitled to participate in respect of any stock dividends or distributions for which adjustments are to be made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Following a Participating Dividend Record Date</w:t>
      </w:r>
      <w:r>
        <w:rPr>
          <w:rFonts w:ascii="Times New Roman" w:cs="Times New Roman" w:eastAsia="Times New Roman" w:hAnsi="Times New Roman"/>
          <w:sz w:val="22"/>
          <w:szCs w:val="22"/>
          <w:color w:val="auto"/>
        </w:rPr>
        <w:t>. If the Conversion Date for any shares of Series C Preferred Stock is after the close of business on a Participating Dividend Record Date, as applicable, but prior to the corresponding payment date for such dividend, the Holder of such shares as of such Participating Dividend Record Date shall be entitled to receive such Participating Dividend notwithstanding the conversion of such shares prior to the applicable payment date for such dividend.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b w:val="1"/>
          <w:bCs w:val="1"/>
          <w:u w:val="single" w:color="auto"/>
          <w:color w:val="auto"/>
        </w:rPr>
        <w:t>Liquidation Rights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9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In the event of any voluntary or involuntary liquidation, dissolution or winding up of the affairs of the Company, the Holders shall be entitled, out of assets legally available therefor, before any distribution or payment out of the assets of the Company may be made to or set aside for the holders of any Junior Stock, and subject to the rights of the holders of any Senior Stock or Parity Stock and the rights of the Company’s existing and future creditors, to receive in full a liquidating distribution in cash in the amount per share of Series C Preferred Stock equal to the greater of (i) the Liquidation Preference with respect to such share of Series C Preferred Stock as of the date of such voluntary or involuntary liquidation, dissolution or winding up of the affairs of the Company and (ii) the amount per share of Series C Preferred Stock that such Holders would have received had such Holders, immediately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such voluntary or involuntary liquidation, dissolution or winding up of the affairs of the Company, converted such shares of Series C Preferred Stock into Common Stock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without regard to any of the limitations on convertibility contained therein). Holders shall not be entitled to any further payments in the event of any such voluntary or involuntary liquidation, dissolution or winding up of the affairs of the Company other than what is expressly provided for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will have no right or claim to any of the Company’s remaining assets.</w:t>
      </w:r>
    </w:p>
    <w:p>
      <w:pPr>
        <w:spacing w:after="0" w:line="179" w:lineRule="exact"/>
        <w:rPr>
          <w:sz w:val="20"/>
          <w:szCs w:val="20"/>
          <w:color w:val="auto"/>
        </w:rPr>
      </w:pPr>
    </w:p>
    <w:p>
      <w:pPr>
        <w:jc w:val="both"/>
        <w:ind w:firstLine="1304"/>
        <w:spacing w:after="0" w:line="253"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Payment</w:t>
      </w:r>
      <w:r>
        <w:rPr>
          <w:rFonts w:ascii="Times New Roman" w:cs="Times New Roman" w:eastAsia="Times New Roman" w:hAnsi="Times New Roman"/>
          <w:sz w:val="22"/>
          <w:szCs w:val="22"/>
          <w:color w:val="auto"/>
        </w:rPr>
        <w:t xml:space="preserve">. If in connection with any distribution described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above, the assets of the Company or proceeds therefrom are not sufficient to pay in full the aggregate liquidating distributions required to be paid pursuant to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to all Holders and the liquidating distributions payable to all holders of any Parity Stock, the amounts distributed to the Holders and to the holders of all such Parity Stock shall be paid pro rata in accordance with the respective aggregate liquidating distributions to which they would otherwise be entitled if all amounts payable thereon were paid in full.</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 Consolidation and Sale of Assets Not Liquidation</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sale, conveyance, exchange or transfer (for cash, shares of stock, securities or other consideration) of all or substantially all of the property and assets of the Company shall not be deemed a voluntary or involuntary liquidation, dissolution or winding up of the affairs of the Company, nor shall the merger, consolidation, statutory exchange or any other business combination transaction of the Company into or with any other Person or the merger, consolidation, statutory exchange or any other business combination transaction of any other Person into or with the Company be deemed to be a voluntary or involuntary liquidation, dissolution or winding up of the affairs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b w:val="1"/>
          <w:bCs w:val="1"/>
          <w:u w:val="single" w:color="auto"/>
          <w:color w:val="auto"/>
        </w:rPr>
        <w:t>Right of the Holders to Convert</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0"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Holder shall have the right, at such Holder’s option, subject to the conversion procedures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to convert each share of such Holder’s Series C Preferred Stock at any time into a number of shares of Common Stock equal to the Conversion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each Holder shall receive cash in lieu of fractional shares as set out in </w:t>
      </w:r>
      <w:r>
        <w:rPr>
          <w:rFonts w:ascii="Times New Roman" w:cs="Times New Roman" w:eastAsia="Times New Roman" w:hAnsi="Times New Roman"/>
          <w:sz w:val="22"/>
          <w:szCs w:val="22"/>
          <w:u w:val="single" w:color="auto"/>
          <w:color w:val="auto"/>
        </w:rPr>
        <w:t>Section 10(h)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further</w:t>
      </w:r>
      <w:r>
        <w:rPr>
          <w:rFonts w:ascii="Times New Roman" w:cs="Times New Roman" w:eastAsia="Times New Roman" w:hAnsi="Times New Roman"/>
          <w:sz w:val="22"/>
          <w:szCs w:val="22"/>
          <w:color w:val="auto"/>
        </w:rPr>
        <w:t>, that no Holder shall be entitled to convert Series C Preferred Stock in an amount that would cause such Holder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beneficially own immediately following such conversion more than 49.99% of the then outstanding shares of Common Stock. Subject to the immediately preceding sentence, the right of conversion may be exercised as to all or any portion of such Holder’s Series C Preferred Stock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each case, no right of conversion may be exercised by a Holder in respect of fewer than 300,000 shares of Series C Preferred Stock (unless such conversion relates to all shares of Series C Preferred Stock held by such Holder).</w:t>
      </w:r>
    </w:p>
    <w:p>
      <w:pPr>
        <w:spacing w:after="0" w:line="179"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39"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at all times reserve and keep available out of its authorized and unissued Common Stock, solely for issuance upon the conversion of the Series C Preferred Stock, such number of shares of Common Stock as shall from time to time be issuable upon the conversion of all the shares of Series C Preferred Stock then outstanding.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shall use its reasonable best efforts to maintain the listing on the NASDAQ of such number of shares of Common Stock as shall from time to time be issuable upon the conversion of all the shares of Series C Preferred Stock then outstanding. Any shares of Common Stock issued upon conversion of Series C Preferred Stock shall be duly authorized, validly issued, fully paid and nonassessable and will not be subject to preemptive rights or subscription rights of any other stockholder of the Company.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b w:val="1"/>
          <w:bCs w:val="1"/>
          <w:u w:val="single" w:color="auto"/>
          <w:color w:val="auto"/>
        </w:rPr>
        <w:t>Mandatory Conversion by the Company</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41"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VWAP per share of Common Stock for any calendar quarter ending after the six (6) month anniversary of the Original Issuance Date is greater than the Mandatory Conversion Price (the “</w:t>
      </w:r>
      <w:r>
        <w:rPr>
          <w:rFonts w:ascii="Times New Roman" w:cs="Times New Roman" w:eastAsia="Times New Roman" w:hAnsi="Times New Roman"/>
          <w:sz w:val="22"/>
          <w:szCs w:val="22"/>
          <w:b w:val="1"/>
          <w:bCs w:val="1"/>
          <w:u w:val="single" w:color="auto"/>
          <w:color w:val="auto"/>
        </w:rPr>
        <w:t>Mandatory 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Trigger</w:t>
      </w:r>
      <w:r>
        <w:rPr>
          <w:rFonts w:ascii="Times New Roman" w:cs="Times New Roman" w:eastAsia="Times New Roman" w:hAnsi="Times New Roman"/>
          <w:sz w:val="22"/>
          <w:szCs w:val="22"/>
          <w:color w:val="auto"/>
        </w:rPr>
        <w:t>” and such quarter, a “</w:t>
      </w:r>
      <w:r>
        <w:rPr>
          <w:rFonts w:ascii="Times New Roman" w:cs="Times New Roman" w:eastAsia="Times New Roman" w:hAnsi="Times New Roman"/>
          <w:sz w:val="22"/>
          <w:szCs w:val="22"/>
          <w:b w:val="1"/>
          <w:bCs w:val="1"/>
          <w:u w:val="single" w:color="auto"/>
          <w:color w:val="auto"/>
        </w:rPr>
        <w:t>Conversion Quarter</w:t>
      </w:r>
      <w:r>
        <w:rPr>
          <w:rFonts w:ascii="Times New Roman" w:cs="Times New Roman" w:eastAsia="Times New Roman" w:hAnsi="Times New Roman"/>
          <w:sz w:val="22"/>
          <w:szCs w:val="22"/>
          <w:color w:val="auto"/>
        </w:rPr>
        <w:t>”) then, if a majority of the members of the Board that have not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designated by, and are not affiliated with, any Holder (the “</w:t>
      </w:r>
      <w:r>
        <w:rPr>
          <w:rFonts w:ascii="Times New Roman" w:cs="Times New Roman" w:eastAsia="Times New Roman" w:hAnsi="Times New Roman"/>
          <w:sz w:val="22"/>
          <w:szCs w:val="22"/>
          <w:b w:val="1"/>
          <w:bCs w:val="1"/>
          <w:u w:val="single" w:color="auto"/>
          <w:color w:val="auto"/>
        </w:rPr>
        <w:t>Disinterested Directors</w:t>
      </w:r>
      <w:r>
        <w:rPr>
          <w:rFonts w:ascii="Times New Roman" w:cs="Times New Roman" w:eastAsia="Times New Roman" w:hAnsi="Times New Roman"/>
          <w:sz w:val="22"/>
          <w:szCs w:val="22"/>
          <w:color w:val="auto"/>
        </w:rPr>
        <w:t>”) so direct, then the Company shall convert (a “</w:t>
      </w:r>
      <w:r>
        <w:rPr>
          <w:rFonts w:ascii="Times New Roman" w:cs="Times New Roman" w:eastAsia="Times New Roman" w:hAnsi="Times New Roman"/>
          <w:sz w:val="22"/>
          <w:szCs w:val="22"/>
          <w:b w:val="1"/>
          <w:bCs w:val="1"/>
          <w:u w:val="single" w:color="auto"/>
          <w:color w:val="auto"/>
        </w:rPr>
        <w:t>Mandatory Conversion</w:t>
      </w:r>
      <w:r>
        <w:rPr>
          <w:rFonts w:ascii="Times New Roman" w:cs="Times New Roman" w:eastAsia="Times New Roman" w:hAnsi="Times New Roman"/>
          <w:sz w:val="22"/>
          <w:szCs w:val="22"/>
          <w:color w:val="auto"/>
        </w:rPr>
        <w:t>”), on a pro rata basis based on the number of shares of Series C Preferred Stock held as of the date of the Notice of Mandatory Conversion (as defined below) delivered in respect of such Mandatory Conversion, up to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total shares of Series C Preferred Stock outstanding as of the Original Issuance Date into shares of Common Stock, on a date selected by the Company that is within 6 months after the last day of the Conversion Quarter (the date selected by the Company for any Mandatory Conversion pursuant to this Section 7(a) and in accordance with Section 7(b), the “</w:t>
      </w:r>
      <w:r>
        <w:rPr>
          <w:rFonts w:ascii="Times New Roman" w:cs="Times New Roman" w:eastAsia="Times New Roman" w:hAnsi="Times New Roman"/>
          <w:sz w:val="22"/>
          <w:szCs w:val="22"/>
          <w:b w:val="1"/>
          <w:bCs w:val="1"/>
          <w:u w:val="single" w:color="auto"/>
          <w:color w:val="auto"/>
        </w:rPr>
        <w:t>Mandatory 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conversion of a Holder’s pro rata share of the then outstanding shares of Series C Preferred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would cause such Holder to beneficially own immediately following such Mandatory Conversion more than 49.99% of the then outstanding shares of Common Stock, the number of such Holder’s shares of Series C Preferred Stock that may be converted in such Mandatory Conversion shall be reduced to the greatest number of shares of Series C Preferred Stock that would cause such Holder to beneficially own immediately following such Mandatory Conversion no more than 49.99% of the then outstanding shares of Common Stock;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Company may not consummate a Mandatory Conversion if any Holder would hold upon such Mandatory Conversion shares of Common Stock that are Registrable Securities (as defined in the Registration Rights Agreement) unless as of the Mandatory Conversion Date there is an Available Registration Statement covering resale of such shares of Common Stock by the Holders (after giving effect to such Mandatory Conversion);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Company may not convert, with respect to any individual Holder, fewer than 300,000 shares of Series 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Preferred Stock (unless such conversion relates to all shares of Series C Preferred Stock held by such Holder). In the case of a Mandatory Conversion, each share of Series C Preferred Stock then outstanding shall be converted into (A) a whole number of shares of Common Stock at the Conversion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cash in lieu of fractional shares as set out in </w:t>
      </w:r>
      <w:r>
        <w:rPr>
          <w:rFonts w:ascii="Times New Roman" w:cs="Times New Roman" w:eastAsia="Times New Roman" w:hAnsi="Times New Roman"/>
          <w:sz w:val="22"/>
          <w:szCs w:val="22"/>
          <w:u w:val="single" w:color="auto"/>
          <w:color w:val="auto"/>
        </w:rPr>
        <w:t>Section 10(h)</w:t>
      </w:r>
      <w:r>
        <w:rPr>
          <w:rFonts w:ascii="Times New Roman" w:cs="Times New Roman" w:eastAsia="Times New Roman" w:hAnsi="Times New Roman"/>
          <w:sz w:val="22"/>
          <w:szCs w:val="22"/>
          <w:color w:val="auto"/>
        </w:rPr>
        <w:t xml:space="preserve">. For the avoidance of doubt, subject to the limitations of this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if directed by a majority of the Disinterested Directors, the Company may cause multiple Mandatory Conversions in respect of any given Conversion Quarter, and Mandatory Conversions in respect of multiple Conversion Quarters, so long as (i) the aggregate number of shares of Series C Preferred Stock that are converted in respect of any Conversion Quarter do not exceed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total shares of Series C Preferred Stock outstanding as of the Original Issuance Date and (ii) no Holder is forced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convert a number of shares exceeding its pro rata share of the aggregate number of shares of Series C Preferred Stock which may be subject to Mandatory Conversion without giving effect to any reduction in the number of shares of Series C Preferred Stock actually converted.</w:t>
      </w:r>
    </w:p>
    <w:p>
      <w:pPr>
        <w:spacing w:after="0" w:line="186" w:lineRule="exact"/>
        <w:rPr>
          <w:sz w:val="20"/>
          <w:szCs w:val="20"/>
          <w:color w:val="auto"/>
        </w:rPr>
      </w:pPr>
    </w:p>
    <w:p>
      <w:pPr>
        <w:jc w:val="both"/>
        <w:ind w:firstLine="1304"/>
        <w:spacing w:after="0" w:line="251"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Mandatory Conversion</w:t>
      </w:r>
      <w:r>
        <w:rPr>
          <w:rFonts w:ascii="Times New Roman" w:cs="Times New Roman" w:eastAsia="Times New Roman" w:hAnsi="Times New Roman"/>
          <w:sz w:val="22"/>
          <w:szCs w:val="22"/>
          <w:color w:val="auto"/>
        </w:rPr>
        <w:t xml:space="preserve">. If a majority of the Disinterested Directors elect to effect a Mandatory Conversion in accordance with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Company shall provide notice of the Mandatory Conversion to each Holder (such notice, a “</w:t>
      </w:r>
      <w:r>
        <w:rPr>
          <w:rFonts w:ascii="Times New Roman" w:cs="Times New Roman" w:eastAsia="Times New Roman" w:hAnsi="Times New Roman"/>
          <w:sz w:val="22"/>
          <w:szCs w:val="22"/>
          <w:b w:val="1"/>
          <w:bCs w:val="1"/>
          <w:u w:val="single" w:color="auto"/>
          <w:color w:val="auto"/>
        </w:rPr>
        <w:t>Notice of Mandatory Conversion</w:t>
      </w:r>
      <w:r>
        <w:rPr>
          <w:rFonts w:ascii="Times New Roman" w:cs="Times New Roman" w:eastAsia="Times New Roman" w:hAnsi="Times New Roman"/>
          <w:sz w:val="22"/>
          <w:szCs w:val="22"/>
          <w:color w:val="auto"/>
        </w:rPr>
        <w:t>”) at least three Business Days prior to the Mandatory Conversion Date. For the avoidance of doubt, a Notice of Mandatory Conversion does not limit a Holder’s right to convert on a Conversion Date prior to the Mandatory Conversion Date. The Company may not select a Mandatory Conversion Date within 30 calendar days before the beginning of a Quarterly Blackout Period (as such term is defined in the Registration Rights Agreement).</w:t>
      </w:r>
    </w:p>
    <w:p>
      <w:pPr>
        <w:spacing w:after="0" w:line="181"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of Mandatory Conversion shall state, as appropriate:</w:t>
      </w:r>
    </w:p>
    <w:p>
      <w:pPr>
        <w:spacing w:after="0" w:line="21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Mandatory Conversion Date selected by the Company;</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procedures a Holder must follow for issuance of the shares of Common Stock</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and</w:t>
      </w:r>
    </w:p>
    <w:p>
      <w:pPr>
        <w:spacing w:after="0" w:line="195" w:lineRule="exact"/>
        <w:rPr>
          <w:rFonts w:ascii="Times New Roman" w:cs="Times New Roman" w:eastAsia="Times New Roman" w:hAnsi="Times New Roman"/>
          <w:sz w:val="22"/>
          <w:szCs w:val="22"/>
          <w:color w:val="auto"/>
        </w:rPr>
      </w:pPr>
    </w:p>
    <w:p>
      <w:pPr>
        <w:ind w:firstLine="1952"/>
        <w:spacing w:after="0" w:line="284" w:lineRule="auto"/>
        <w:tabs>
          <w:tab w:leader="none" w:pos="2592"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as in effect on the Mandatory Conversion Date and the number of shares of Common Stock to be issued to the Holder upon conversion of each share of Series C Preferred Stock held by such Holder.</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b w:val="1"/>
          <w:bCs w:val="1"/>
          <w:u w:val="single" w:color="auto"/>
          <w:color w:val="auto"/>
        </w:rPr>
        <w:t>Conversion Procedures and Effect of Conversion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firstLine="1304"/>
        <w:spacing w:after="0" w:line="271"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Procedure</w:t>
      </w:r>
      <w:r>
        <w:rPr>
          <w:rFonts w:ascii="Times New Roman" w:cs="Times New Roman" w:eastAsia="Times New Roman" w:hAnsi="Times New Roman"/>
          <w:sz w:val="22"/>
          <w:szCs w:val="22"/>
          <w:color w:val="auto"/>
        </w:rPr>
        <w:t xml:space="preserve">. A Holder must do each of the following in order to convert shares of Series C Preferred Stock pursuant to this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conversion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complete and manually sign the conversion notice provided by the Conversion Agent, a form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Conversion Notice</w:t>
      </w:r>
      <w:r>
        <w:rPr>
          <w:rFonts w:ascii="Times New Roman" w:cs="Times New Roman" w:eastAsia="Times New Roman" w:hAnsi="Times New Roman"/>
          <w:sz w:val="22"/>
          <w:szCs w:val="22"/>
          <w:color w:val="auto"/>
        </w:rPr>
        <w:t xml:space="preserve">”), and deliver such notice to the Conversion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Conversion Notice may be conditional on the completion of a Change of Control or other corporate transaction as such Holder may specify;</w:t>
      </w:r>
    </w:p>
    <w:p>
      <w:pPr>
        <w:spacing w:after="0" w:line="176" w:lineRule="exact"/>
        <w:rPr>
          <w:rFonts w:ascii="Times New Roman" w:cs="Times New Roman" w:eastAsia="Times New Roman" w:hAnsi="Times New Roman"/>
          <w:sz w:val="22"/>
          <w:szCs w:val="22"/>
          <w:color w:val="auto"/>
        </w:rPr>
      </w:pPr>
    </w:p>
    <w:p>
      <w:pPr>
        <w:ind w:firstLine="1952"/>
        <w:spacing w:after="0" w:line="271" w:lineRule="auto"/>
        <w:tabs>
          <w:tab w:leader="none" w:pos="258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Conversion Agent the certificate or certificates (if any) representing the shares of Series C Preferred Stock to be converted;</w:t>
      </w:r>
    </w:p>
    <w:p>
      <w:pPr>
        <w:spacing w:after="0" w:line="17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furnish appropriate endorsements and transfer documents; and</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58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required, pay any stock transfer, documentary, stamp or similar taxes not payable by the Company pursuant to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u w:val="single" w:color="auto"/>
          <w:color w:val="auto"/>
        </w:rPr>
        <w:t>Conversion Date</w:t>
      </w:r>
      <w:r>
        <w:rPr>
          <w:rFonts w:ascii="Times New Roman" w:cs="Times New Roman" w:eastAsia="Times New Roman" w:hAnsi="Times New Roman"/>
          <w:sz w:val="22"/>
          <w:szCs w:val="22"/>
          <w:color w:val="auto"/>
        </w:rPr>
        <w:t xml:space="preserve">” means (A) with respect to conversion of any shares of Series C Preferred Stock at the option of any Holder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the date on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Holder complies with the procedures in this </w:t>
      </w:r>
      <w:r>
        <w:rPr>
          <w:rFonts w:ascii="Times New Roman" w:cs="Times New Roman" w:eastAsia="Times New Roman" w:hAnsi="Times New Roman"/>
          <w:sz w:val="21"/>
          <w:szCs w:val="21"/>
          <w:u w:val="single" w:color="auto"/>
          <w:color w:val="auto"/>
        </w:rPr>
        <w:t>Section 8(a)</w:t>
      </w:r>
      <w:r>
        <w:rPr>
          <w:rFonts w:ascii="Times New Roman" w:cs="Times New Roman" w:eastAsia="Times New Roman" w:hAnsi="Times New Roman"/>
          <w:sz w:val="21"/>
          <w:szCs w:val="21"/>
          <w:color w:val="auto"/>
        </w:rPr>
        <w:t xml:space="preserve"> (including the satisfaction of any conditions to conversion set forth in the Conversion Notice) and (B) with respect to Mandatory Conversion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the Mandatory Conversion Date.</w:t>
      </w:r>
    </w:p>
    <w:p>
      <w:pPr>
        <w:spacing w:after="0" w:line="135" w:lineRule="exact"/>
        <w:rPr>
          <w:sz w:val="20"/>
          <w:szCs w:val="20"/>
          <w:color w:val="auto"/>
        </w:rPr>
      </w:pPr>
    </w:p>
    <w:p>
      <w:pPr>
        <w:jc w:val="both"/>
        <w:ind w:firstLine="1304"/>
        <w:spacing w:after="0" w:line="263"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Conversion</w:t>
      </w:r>
      <w:r>
        <w:rPr>
          <w:rFonts w:ascii="Times New Roman" w:cs="Times New Roman" w:eastAsia="Times New Roman" w:hAnsi="Times New Roman"/>
          <w:sz w:val="22"/>
          <w:szCs w:val="22"/>
          <w:color w:val="auto"/>
        </w:rPr>
        <w:t>. Effective immediately prior to the close of business on the Conversion Date applicable to any shares of Series C Preferred Stock, such shares of Series C Preferred Stock shall cease to be outstanding and the corresponding shares of Common Stock pursuant to the conversion shall be issued and outstanding.</w:t>
      </w:r>
    </w:p>
    <w:p>
      <w:pPr>
        <w:spacing w:after="0" w:line="16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 Holder of Underlying Securities as of Conversion Date</w:t>
      </w:r>
      <w:r>
        <w:rPr>
          <w:rFonts w:ascii="Times New Roman" w:cs="Times New Roman" w:eastAsia="Times New Roman" w:hAnsi="Times New Roman"/>
          <w:sz w:val="22"/>
          <w:szCs w:val="22"/>
          <w:color w:val="auto"/>
        </w:rPr>
        <w:t xml:space="preserve">. The Person or Persons entitled to receive the Common Stock and, to the extent applicable, cash, securities or other property issuable upon conversion of Series C Preferred Stock on a Conversion Date shall be treated for all purposes as the record holder(s) of such shares of Common Stock and/or cash, securities or other property as of the close of business on such Conversion Date. As promptly as practicable on or after the Conversion Date and, if applicable, compliance by the applicable Holder with the relevant procedures contained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 xml:space="preserve"> (and in any event no later than three (3) Trading Days thereafter;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however that, if a written notice from the Holder in accordance with </w:t>
      </w:r>
      <w:r>
        <w:rPr>
          <w:rFonts w:ascii="Times New Roman" w:cs="Times New Roman" w:eastAsia="Times New Roman" w:hAnsi="Times New Roman"/>
          <w:sz w:val="22"/>
          <w:szCs w:val="22"/>
          <w:u w:val="single" w:color="auto"/>
          <w:color w:val="auto"/>
        </w:rPr>
        <w:t>Section 8(a)(i)</w:t>
      </w:r>
      <w:r>
        <w:rPr>
          <w:rFonts w:ascii="Times New Roman" w:cs="Times New Roman" w:eastAsia="Times New Roman" w:hAnsi="Times New Roman"/>
          <w:sz w:val="22"/>
          <w:szCs w:val="22"/>
          <w:color w:val="auto"/>
        </w:rPr>
        <w:t xml:space="preserve"> specifies a date of delivery for any shares of Common Stock, such shares shall be delivered on the date so specified, which shall be no earlier than the second (2nd) Business Day immediately following the date of such notice and no later than the seventh (7th) Business Day thereafter), the Company shall issue the number of whole shares of Common Stock issuable upon conversion (and deliver payment of cash in lieu of fractional shares as set out in </w:t>
      </w:r>
      <w:r>
        <w:rPr>
          <w:rFonts w:ascii="Times New Roman" w:cs="Times New Roman" w:eastAsia="Times New Roman" w:hAnsi="Times New Roman"/>
          <w:sz w:val="22"/>
          <w:szCs w:val="22"/>
          <w:u w:val="single" w:color="auto"/>
          <w:color w:val="auto"/>
        </w:rPr>
        <w:t>Section 10(h)</w:t>
      </w:r>
      <w:r>
        <w:rPr>
          <w:rFonts w:ascii="Times New Roman" w:cs="Times New Roman" w:eastAsia="Times New Roman" w:hAnsi="Times New Roman"/>
          <w:sz w:val="22"/>
          <w:szCs w:val="22"/>
          <w:color w:val="auto"/>
        </w:rPr>
        <w:t xml:space="preserve">) and, to the extent applicable, any cash, securities or other property issuable thereon. Such delivery of shares of Common Stock, securities or other property shall be made by book-entry or, at the request of the Holder by delivering a notice to the Conversion Agent, through the facilities of The Depositary Trust Company or in certificated form. Any such certificate or certificates shall be delivered by the Company to the appropriate Holder on a book-entry basis, through the facilities of The Depositary Trust Company, or by mailing certificates evidencing the shares to the Holders, in each case at their respective addresses as set forth in the Conversion Notice (in the case of a conversion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or in the records of the Company or as set forth in a notice from the Holder to the Conversion Agent, as applicable (in the case of a Mandatory Conversion). In the event that a Holder shall not by written notice designate the name in which shares of Common Stock (and payments of cash in lieu of fractional shares) and, to the extent applicable, cash, securities or other property to be delivered upon conversion of shares of Series C Preferred Stock should be registered or paid, or the manner in which such shares, cash, securities or other property should be delivered, the Company shall be entitled to register and deliver such shares, securities or other property, and make such payment, in the name of the Holder and in the manner shown on the records of the Company.</w:t>
      </w:r>
    </w:p>
    <w:p>
      <w:pPr>
        <w:spacing w:after="0" w:line="18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Converted or Reacquired Shares</w:t>
      </w:r>
      <w:r>
        <w:rPr>
          <w:rFonts w:ascii="Times New Roman" w:cs="Times New Roman" w:eastAsia="Times New Roman" w:hAnsi="Times New Roman"/>
          <w:sz w:val="22"/>
          <w:szCs w:val="22"/>
          <w:color w:val="auto"/>
        </w:rPr>
        <w:t>. Shares of Series C Preferred Stock converted in accordance with this Certificate of Designations, or otherwise acquired by the Company or any of its Subsidiaries in any manner whatsoever, shall not be reissued as shares of Series C Preferred Stock and shall be retired promptly after the conversion or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All such shares shall, upon their retirement and any filing required by the DGCL, become authorized but unissued shares of Preferred Stock, without designation as to series until such shares are once more designated as part of a particular series by the Board pursuant to the provisions of the Certificate of Incorporation.</w:t>
      </w:r>
    </w:p>
    <w:p>
      <w:pPr>
        <w:spacing w:after="0" w:line="186" w:lineRule="exact"/>
        <w:rPr>
          <w:sz w:val="20"/>
          <w:szCs w:val="20"/>
          <w:color w:val="auto"/>
        </w:rPr>
      </w:pPr>
    </w:p>
    <w:p>
      <w:pPr>
        <w:jc w:val="both"/>
        <w:ind w:firstLine="1304"/>
        <w:spacing w:after="0" w:line="257"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Conversion</w:t>
      </w:r>
      <w:r>
        <w:rPr>
          <w:rFonts w:ascii="Times New Roman" w:cs="Times New Roman" w:eastAsia="Times New Roman" w:hAnsi="Times New Roman"/>
          <w:sz w:val="22"/>
          <w:szCs w:val="22"/>
          <w:color w:val="auto"/>
        </w:rPr>
        <w:t>. In case any certificate for shares of Series C Preferred Stock shall be surrendered for partial conversion, the Company shall, at its expense, execute and deliver to or upon the written order of the Holder of the certificate so surrendered a new certificate for the shares of Series C Preferred Stock not converted.</w:t>
      </w:r>
    </w:p>
    <w:p>
      <w:pPr>
        <w:spacing w:after="0" w:line="17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of Election for Mandatory Conversion</w:t>
      </w:r>
      <w:r>
        <w:rPr>
          <w:rFonts w:ascii="Times New Roman" w:cs="Times New Roman" w:eastAsia="Times New Roman" w:hAnsi="Times New Roman"/>
          <w:sz w:val="22"/>
          <w:szCs w:val="22"/>
          <w:color w:val="auto"/>
        </w:rPr>
        <w:t>. Notwithstanding anything to the contrary herein, if directed by a majority of the Disinterested Directors, the Company may withdraw (in whole or in part) by means of a written notice of withdrawal delivered to each Holder at any time prior to the close of business on the fourth Business Day prior to the Mandatory Conversion Date, specifying the number of shares of Series C Preferred Stock with respect to which such notice of withdrawal is being submitted (which withdrawal shall, for the avoidance of doubt, have no effect on those shares of Series C Preferred Stock which a Holder has voluntarily elected to convert).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47"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Notices</w:t>
      </w:r>
      <w:r>
        <w:rPr>
          <w:rFonts w:ascii="Times New Roman" w:cs="Times New Roman" w:eastAsia="Times New Roman" w:hAnsi="Times New Roman"/>
          <w:sz w:val="22"/>
          <w:szCs w:val="22"/>
          <w:color w:val="auto"/>
        </w:rPr>
        <w:t>. On or before the twentieth (20th) Business Day prior to the date on which the Company anticipates consummating a Change of Control (or, if later, promptly after the Company discovers that a Change of Control may occur), a written notice shall be sent by or on behalf of the Company to the Holders as they appear in the records of the Company, which notice shall set forth a description of the anticipated Change of Control (including, for the avoidance of doubt, the details of any consideration to be delivered as a distribution on or in exchange for outstanding shares of Common Stock) and contain the date on which the Change of Control is anticipated to be effected (or, if applicable, the date on which a Schedule TO or other schedule, form or report disclosing a Change of Control was filed) (the “</w:t>
      </w:r>
      <w:r>
        <w:rPr>
          <w:rFonts w:ascii="Times New Roman" w:cs="Times New Roman" w:eastAsia="Times New Roman" w:hAnsi="Times New Roman"/>
          <w:sz w:val="22"/>
          <w:szCs w:val="22"/>
          <w:b w:val="1"/>
          <w:bCs w:val="1"/>
          <w:u w:val="single" w:color="auto"/>
          <w:color w:val="auto"/>
        </w:rPr>
        <w:t>Initial Change of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No later than the later of (x) ten (10) Business Days prior to the date on which the Company anticipates consummating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Change of Control as set forth in the Initial Change of Control Notice and (y) the earlier of (1) the twentieth (20th) Business Day following the relevant Change of Control Effective Date and (2) the tenth (10th) Business Day following receipt of the relevant Initial Change of Control Notice, any Holder that desires to exercise its rights pursuant to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shall notify the Company in writing thereof (such notice, a “</w:t>
      </w:r>
      <w:r>
        <w:rPr>
          <w:rFonts w:ascii="Times New Roman" w:cs="Times New Roman" w:eastAsia="Times New Roman" w:hAnsi="Times New Roman"/>
          <w:sz w:val="22"/>
          <w:szCs w:val="22"/>
          <w:b w:val="1"/>
          <w:bCs w:val="1"/>
          <w:u w:val="single" w:color="auto"/>
          <w:color w:val="auto"/>
        </w:rPr>
        <w:t>Change of Control Election Notice</w:t>
      </w:r>
      <w:r>
        <w:rPr>
          <w:rFonts w:ascii="Times New Roman" w:cs="Times New Roman" w:eastAsia="Times New Roman" w:hAnsi="Times New Roman"/>
          <w:sz w:val="22"/>
          <w:szCs w:val="22"/>
          <w:color w:val="auto"/>
        </w:rPr>
        <w:t xml:space="preserve">”) and shall specify (x) that such Holder is electing to exercise its rights pursuant to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and (y) the number of shares of Series C Preferred Stock subject to each such election. Within two (2) days following the effective date of a Change of Control (the “</w:t>
      </w:r>
      <w:r>
        <w:rPr>
          <w:rFonts w:ascii="Times New Roman" w:cs="Times New Roman" w:eastAsia="Times New Roman" w:hAnsi="Times New Roman"/>
          <w:sz w:val="22"/>
          <w:szCs w:val="22"/>
          <w:b w:val="1"/>
          <w:bCs w:val="1"/>
          <w:u w:val="single" w:color="auto"/>
          <w:color w:val="auto"/>
        </w:rPr>
        <w:t>Change of Control Effective Date</w:t>
      </w:r>
      <w:r>
        <w:rPr>
          <w:rFonts w:ascii="Times New Roman" w:cs="Times New Roman" w:eastAsia="Times New Roman" w:hAnsi="Times New Roman"/>
          <w:sz w:val="22"/>
          <w:szCs w:val="22"/>
          <w:color w:val="auto"/>
        </w:rPr>
        <w:t>”) (or if the Company discovers later than such date that a Change of Control has occurred, promptly following the date of such discovery), a written notice (the “</w:t>
      </w:r>
      <w:r>
        <w:rPr>
          <w:rFonts w:ascii="Times New Roman" w:cs="Times New Roman" w:eastAsia="Times New Roman" w:hAnsi="Times New Roman"/>
          <w:sz w:val="22"/>
          <w:szCs w:val="22"/>
          <w:b w:val="1"/>
          <w:bCs w:val="1"/>
          <w:u w:val="single" w:color="auto"/>
          <w:color w:val="auto"/>
        </w:rPr>
        <w:t>Change of Control Put Notice</w:t>
      </w:r>
      <w:r>
        <w:rPr>
          <w:rFonts w:ascii="Times New Roman" w:cs="Times New Roman" w:eastAsia="Times New Roman" w:hAnsi="Times New Roman"/>
          <w:sz w:val="22"/>
          <w:szCs w:val="22"/>
          <w:color w:val="auto"/>
        </w:rPr>
        <w:t>”) shall be sent by or on behalf of the Company to the Holders as they appear in the records of the Company, which notice shall contain: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ind w:left="-220" w:firstLine="1952"/>
        <w:spacing w:after="0" w:line="271" w:lineRule="auto"/>
        <w:tabs>
          <w:tab w:leader="none" w:pos="23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scheduled Change of Control Purchase Date, which shall be no less than 40 nor more than 60 calendar days following the date of such Change of Control Put Notice;</w:t>
      </w:r>
    </w:p>
    <w:p>
      <w:pPr>
        <w:spacing w:after="0" w:line="157" w:lineRule="exact"/>
        <w:rPr>
          <w:rFonts w:ascii="Times New Roman" w:cs="Times New Roman" w:eastAsia="Times New Roman" w:hAnsi="Times New Roman"/>
          <w:sz w:val="22"/>
          <w:szCs w:val="22"/>
          <w:color w:val="auto"/>
        </w:rPr>
      </w:pPr>
    </w:p>
    <w:p>
      <w:pPr>
        <w:ind w:left="-220" w:right="20" w:firstLine="1952"/>
        <w:spacing w:after="0" w:line="284" w:lineRule="auto"/>
        <w:tabs>
          <w:tab w:leader="none" w:pos="236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Change of Control Put Price and the number of shares of Series C Preferred Stock subject to the Change of Control Put;</w:t>
      </w:r>
    </w:p>
    <w:p>
      <w:pPr>
        <w:spacing w:after="0" w:line="143" w:lineRule="exact"/>
        <w:rPr>
          <w:rFonts w:ascii="Times New Roman" w:cs="Times New Roman" w:eastAsia="Times New Roman" w:hAnsi="Times New Roman"/>
          <w:sz w:val="22"/>
          <w:szCs w:val="22"/>
          <w:color w:val="auto"/>
        </w:rPr>
      </w:pPr>
    </w:p>
    <w:p>
      <w:pPr>
        <w:ind w:left="2380" w:hanging="648"/>
        <w:spacing w:after="0"/>
        <w:tabs>
          <w:tab w:leader="none" w:pos="23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instructions a Holder must follow to receive the applicable Change of Control Put Price;</w:t>
      </w:r>
    </w:p>
    <w:p>
      <w:pPr>
        <w:spacing w:after="0" w:line="219" w:lineRule="exact"/>
        <w:rPr>
          <w:rFonts w:ascii="Times New Roman" w:cs="Times New Roman" w:eastAsia="Times New Roman" w:hAnsi="Times New Roman"/>
          <w:sz w:val="22"/>
          <w:szCs w:val="22"/>
          <w:color w:val="auto"/>
        </w:rPr>
      </w:pPr>
    </w:p>
    <w:p>
      <w:pPr>
        <w:ind w:left="-220" w:right="20" w:firstLine="1952"/>
        <w:spacing w:after="0" w:line="271" w:lineRule="auto"/>
        <w:tabs>
          <w:tab w:leader="none" w:pos="23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a Holder may not convert any shares of Series C Preferred Stock as to which it has elected a Change of Control Put, subject to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and</w:t>
      </w:r>
    </w:p>
    <w:p>
      <w:pPr>
        <w:spacing w:after="0" w:line="157" w:lineRule="exact"/>
        <w:rPr>
          <w:rFonts w:ascii="Times New Roman" w:cs="Times New Roman" w:eastAsia="Times New Roman" w:hAnsi="Times New Roman"/>
          <w:sz w:val="22"/>
          <w:szCs w:val="22"/>
          <w:color w:val="auto"/>
        </w:rPr>
      </w:pPr>
    </w:p>
    <w:p>
      <w:pPr>
        <w:jc w:val="both"/>
        <w:ind w:left="-220" w:firstLine="1952"/>
        <w:spacing w:after="0" w:line="263" w:lineRule="auto"/>
        <w:tabs>
          <w:tab w:leader="none" w:pos="236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Change of Control (including, for the avoidance of doubt, the details of any consideration delivered as a distribution on or in exchange for outstanding shares of Common Stock) and the applicable Change of Control Effective Date.</w:t>
      </w:r>
    </w:p>
    <w:p>
      <w:pPr>
        <w:spacing w:after="0" w:line="167" w:lineRule="exact"/>
        <w:rPr>
          <w:rFonts w:ascii="Times New Roman" w:cs="Times New Roman" w:eastAsia="Times New Roman" w:hAnsi="Times New Roman"/>
          <w:sz w:val="22"/>
          <w:szCs w:val="22"/>
          <w:color w:val="auto"/>
        </w:rPr>
      </w:pPr>
    </w:p>
    <w:p>
      <w:pPr>
        <w:jc w:val="both"/>
        <w:ind w:left="-220" w:firstLine="1304"/>
        <w:spacing w:after="0" w:line="249" w:lineRule="auto"/>
        <w:tabs>
          <w:tab w:leader="none" w:pos="17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Put</w:t>
      </w:r>
      <w:r>
        <w:rPr>
          <w:rFonts w:ascii="Times New Roman" w:cs="Times New Roman" w:eastAsia="Times New Roman" w:hAnsi="Times New Roman"/>
          <w:sz w:val="22"/>
          <w:szCs w:val="22"/>
          <w:color w:val="auto"/>
        </w:rPr>
        <w:t xml:space="preserve">. Subject to the application of </w:t>
      </w:r>
      <w:r>
        <w:rPr>
          <w:rFonts w:ascii="Times New Roman" w:cs="Times New Roman" w:eastAsia="Times New Roman" w:hAnsi="Times New Roman"/>
          <w:sz w:val="22"/>
          <w:szCs w:val="22"/>
          <w:u w:val="single" w:color="auto"/>
          <w:color w:val="auto"/>
        </w:rPr>
        <w:t>Section 9(h)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the Company shall purchase from each Holder that delivered a Change of Control Election Notice all shares of Series C Preferred Stock specified in such Change of Control Election Notice (a “</w:t>
      </w:r>
      <w:r>
        <w:rPr>
          <w:rFonts w:ascii="Times New Roman" w:cs="Times New Roman" w:eastAsia="Times New Roman" w:hAnsi="Times New Roman"/>
          <w:sz w:val="22"/>
          <w:szCs w:val="22"/>
          <w:b w:val="1"/>
          <w:bCs w:val="1"/>
          <w:u w:val="single" w:color="auto"/>
          <w:color w:val="auto"/>
        </w:rPr>
        <w:t>Change of Control Put</w:t>
      </w:r>
      <w:r>
        <w:rPr>
          <w:rFonts w:ascii="Times New Roman" w:cs="Times New Roman" w:eastAsia="Times New Roman" w:hAnsi="Times New Roman"/>
          <w:sz w:val="22"/>
          <w:szCs w:val="22"/>
          <w:color w:val="auto"/>
        </w:rPr>
        <w:t>”) for a purchase price per each such share of Series C Preferred Stock, payable in cash, equal to the Liquidation Preference of such share of Series C Preferred Stock (the “</w:t>
      </w:r>
      <w:r>
        <w:rPr>
          <w:rFonts w:ascii="Times New Roman" w:cs="Times New Roman" w:eastAsia="Times New Roman" w:hAnsi="Times New Roman"/>
          <w:sz w:val="22"/>
          <w:szCs w:val="22"/>
          <w:b w:val="1"/>
          <w:bCs w:val="1"/>
          <w:u w:val="single" w:color="auto"/>
          <w:color w:val="auto"/>
        </w:rPr>
        <w:t>Change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Control Put Price</w:t>
      </w:r>
      <w:r>
        <w:rPr>
          <w:rFonts w:ascii="Times New Roman" w:cs="Times New Roman" w:eastAsia="Times New Roman" w:hAnsi="Times New Roman"/>
          <w:sz w:val="22"/>
          <w:szCs w:val="22"/>
          <w:color w:val="auto"/>
        </w:rPr>
        <w:t>”). A Holder may not convert any shares of Series C Preferred Stock as to which it has elected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Control Put and with respect to which it has not validly withdrawn such election pursuant to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xml:space="preserve">. Notwithstanding anything to the contrary herein, the failure of the Company to deliver the Initial Change of Control Notice or the Change of Control Put Notice shall not impair the rights of the Holders under this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220" w:firstLine="1304"/>
        <w:spacing w:after="0" w:line="263" w:lineRule="auto"/>
        <w:tabs>
          <w:tab w:leader="none" w:pos="172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Put Procedure</w:t>
      </w:r>
      <w:r>
        <w:rPr>
          <w:rFonts w:ascii="Times New Roman" w:cs="Times New Roman" w:eastAsia="Times New Roman" w:hAnsi="Times New Roman"/>
          <w:sz w:val="22"/>
          <w:szCs w:val="22"/>
          <w:color w:val="auto"/>
        </w:rPr>
        <w:t>. To receive the Change of Control Put Price, a Holder must, no later than close of business on the Change of Control Purchase Date, surrender to the Conversion Agent the certificates, if any, representing the shares of Series C Preferred Stock to be repurchased by the Company or lost stock affidavits therefor.</w:t>
      </w:r>
    </w:p>
    <w:p>
      <w:pPr>
        <w:spacing w:after="0" w:line="167" w:lineRule="exact"/>
        <w:rPr>
          <w:rFonts w:ascii="Times New Roman" w:cs="Times New Roman" w:eastAsia="Times New Roman" w:hAnsi="Times New Roman"/>
          <w:sz w:val="22"/>
          <w:szCs w:val="22"/>
          <w:color w:val="auto"/>
        </w:rPr>
      </w:pPr>
    </w:p>
    <w:p>
      <w:pPr>
        <w:jc w:val="both"/>
        <w:ind w:left="-220" w:firstLine="1304"/>
        <w:spacing w:after="0" w:line="248" w:lineRule="auto"/>
        <w:tabs>
          <w:tab w:leader="none" w:pos="171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Call</w:t>
      </w:r>
      <w:r>
        <w:rPr>
          <w:rFonts w:ascii="Times New Roman" w:cs="Times New Roman" w:eastAsia="Times New Roman" w:hAnsi="Times New Roman"/>
          <w:sz w:val="22"/>
          <w:szCs w:val="22"/>
          <w:color w:val="auto"/>
        </w:rPr>
        <w:t xml:space="preserve">. To the extent a Holder has not delivered a Change of Control Election Notice in accordance with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or a Holder has delivered a Change of Control Election Notice for less than all of its shares of Series C Preferred Stock (or in either case, a Holder has withdrawn a Change of Control Election Notice in respect of any or all of its shares of Series C Preferred Stock pursuant to </w:t>
      </w:r>
      <w:r>
        <w:rPr>
          <w:rFonts w:ascii="Times New Roman" w:cs="Times New Roman" w:eastAsia="Times New Roman" w:hAnsi="Times New Roman"/>
          <w:sz w:val="22"/>
          <w:szCs w:val="22"/>
          <w:u w:val="single" w:color="auto"/>
          <w:color w:val="auto"/>
        </w:rPr>
        <w:t>Section 9(k))</w:t>
      </w:r>
      <w:r>
        <w:rPr>
          <w:rFonts w:ascii="Times New Roman" w:cs="Times New Roman" w:eastAsia="Times New Roman" w:hAnsi="Times New Roman"/>
          <w:sz w:val="22"/>
          <w:szCs w:val="22"/>
          <w:color w:val="auto"/>
        </w:rPr>
        <w:t>, the Company may elect to redeem (the “</w:t>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Call</w:t>
      </w:r>
      <w:r>
        <w:rPr>
          <w:rFonts w:ascii="Times New Roman" w:cs="Times New Roman" w:eastAsia="Times New Roman" w:hAnsi="Times New Roman"/>
          <w:sz w:val="22"/>
          <w:szCs w:val="22"/>
          <w:color w:val="auto"/>
        </w:rPr>
        <w:t>”), subject to the right of such Holders to convert the Series C Preferred Stock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to any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redemption, all of such Holders’ shares of Series C Preferred Stock which are not subject to a Change of Control Put at a redemption price per share, payable in cash, equal to the Liquidation Preference of such shares of Series C Preferred Stock (the “</w:t>
      </w:r>
      <w:r>
        <w:rPr>
          <w:rFonts w:ascii="Times New Roman" w:cs="Times New Roman" w:eastAsia="Times New Roman" w:hAnsi="Times New Roman"/>
          <w:sz w:val="22"/>
          <w:szCs w:val="22"/>
          <w:b w:val="1"/>
          <w:bCs w:val="1"/>
          <w:u w:val="single" w:color="auto"/>
          <w:color w:val="auto"/>
        </w:rPr>
        <w:t>Change of Control Call Price</w:t>
      </w:r>
      <w:r>
        <w:rPr>
          <w:rFonts w:ascii="Times New Roman" w:cs="Times New Roman" w:eastAsia="Times New Roman" w:hAnsi="Times New Roman"/>
          <w:sz w:val="22"/>
          <w:szCs w:val="22"/>
          <w:color w:val="auto"/>
        </w:rPr>
        <w:t>”). For the avoidance of doubt, if the Holder exercises the Change of Control Put in part, the Company can exercise the Change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020"/>
          </w:cols>
          <w:pgMar w:left="540" w:top="1440" w:right="339" w:bottom="1440" w:gutter="0" w:footer="0" w:header="0"/>
        </w:sectPr>
      </w:pPr>
    </w:p>
    <w:bookmarkStart w:id="27" w:name="page28"/>
    <w:bookmarkEnd w:id="27"/>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Control Call for the remainder of such Holder’s shares of Series C Preferred Stock. In order to elect a Change of Control Call, the Company must send irrevocable notice of such election no less than five (5) Business Days, nor more than fifteen (15) Business Days, after the delivery of a Change of Control Put Notice, which notice shall contain the redemption date (which shall be no less than 30 nor more than 60 calendar days following the date of such notice), instructions for Holders to receive the Change of Control Call Price, the amount of the Change of Control Call Price, and the last date for a Holder to convert its shares of Series C Preferred Stock in advance of the Change of Control Call (which shall be the Business Day immediately preceding the redemption date). The Company shall not have the right to elect a Change of Control Call unless, as of the date of delivery of notice of a Change of Control Call, it has set aside sufficient funds legally available for the payment of the full Change of Control Call Price for all outstanding shares of Series C Preferred Stock.</w:t>
      </w:r>
    </w:p>
    <w:p>
      <w:pPr>
        <w:spacing w:after="0" w:line="180" w:lineRule="exact"/>
        <w:rPr>
          <w:sz w:val="20"/>
          <w:szCs w:val="20"/>
          <w:color w:val="auto"/>
        </w:rPr>
      </w:pPr>
    </w:p>
    <w:p>
      <w:pPr>
        <w:jc w:val="both"/>
        <w:ind w:firstLine="1304"/>
        <w:spacing w:after="0" w:line="275" w:lineRule="auto"/>
        <w:tabs>
          <w:tab w:leader="none" w:pos="194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upon Change of Control Put/Call</w:t>
      </w:r>
      <w:r>
        <w:rPr>
          <w:rFonts w:ascii="Times New Roman" w:cs="Times New Roman" w:eastAsia="Times New Roman" w:hAnsi="Times New Roman"/>
          <w:sz w:val="21"/>
          <w:szCs w:val="21"/>
          <w:color w:val="auto"/>
        </w:rPr>
        <w:t xml:space="preserve">. Upon a Change of Control Put or a Change of Control Call, subject to </w:t>
      </w:r>
      <w:r>
        <w:rPr>
          <w:rFonts w:ascii="Times New Roman" w:cs="Times New Roman" w:eastAsia="Times New Roman" w:hAnsi="Times New Roman"/>
          <w:sz w:val="21"/>
          <w:szCs w:val="21"/>
          <w:u w:val="single" w:color="auto"/>
          <w:color w:val="auto"/>
        </w:rPr>
        <w:t>Section 9(h)</w:t>
      </w:r>
      <w:r>
        <w:rPr>
          <w:rFonts w:ascii="Times New Roman" w:cs="Times New Roman" w:eastAsia="Times New Roman" w:hAnsi="Times New Roman"/>
          <w:sz w:val="21"/>
          <w:szCs w:val="21"/>
          <w:color w:val="auto"/>
        </w:rPr>
        <w:t xml:space="preserve"> below, the Company (or its successor) shall deliver or cause to be delivered to the Holder by wire transfer the Change of Control Put Price or the Change of Control Call Price for such Holder’s shares of Series C Preferred Stock.</w:t>
      </w:r>
    </w:p>
    <w:p>
      <w:pPr>
        <w:spacing w:after="0" w:line="155" w:lineRule="exact"/>
        <w:rPr>
          <w:rFonts w:ascii="Times New Roman" w:cs="Times New Roman" w:eastAsia="Times New Roman" w:hAnsi="Times New Roman"/>
          <w:sz w:val="21"/>
          <w:szCs w:val="21"/>
          <w:color w:val="auto"/>
        </w:rPr>
      </w:pPr>
    </w:p>
    <w:p>
      <w:pPr>
        <w:jc w:val="both"/>
        <w:ind w:firstLine="1304"/>
        <w:spacing w:after="0" w:line="250"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Shares</w:t>
      </w:r>
      <w:r>
        <w:rPr>
          <w:rFonts w:ascii="Times New Roman" w:cs="Times New Roman" w:eastAsia="Times New Roman" w:hAnsi="Times New Roman"/>
          <w:sz w:val="22"/>
          <w:szCs w:val="22"/>
          <w:color w:val="auto"/>
        </w:rPr>
        <w:t xml:space="preserve">. Until a share of Series C Preferred Stock is purchased by the payment in full of the applicable Change of Control Put Price or Change of Control Call Price, such share of Series C Preferred Stock will remain outstanding and will be entitled to all of the powers, designations, preferences and other rights provided herein, including that such share (x) may be converted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and in accordance with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if not so converted, (y) shall entitle the Holder thereof to the voting rights provided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shares that are converted prior to the consummation of the Change of Control Put or Change of Control Call in accordance with this Certificate of Designations shall not be entitled to receive any payment of the Change of Control Put Price or Change of Control Call Price and shall instead be entitled to the same per share consideration, or the same right to elect per share consideration, as applicable, to be received by holders of Common Stock in connection with the Change of Control (subject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as applicable).</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Exercise of Change of Control Put</w:t>
      </w:r>
      <w:r>
        <w:rPr>
          <w:rFonts w:ascii="Times New Roman" w:cs="Times New Roman" w:eastAsia="Times New Roman" w:hAnsi="Times New Roman"/>
          <w:sz w:val="22"/>
          <w:szCs w:val="22"/>
          <w:color w:val="auto"/>
        </w:rPr>
        <w:t>. In the event that a Change of Control Put is effected with respect to shares of Series C Preferred Stock representing less than all the shares of Series C Preferred Stock held by a Holder, upon such Change of Control Put, the Company shall execute and the Transfer Agent shall countersign and deliver to such Holder, at the expense of the Company, a certificate evidencing the shares of Series C Preferred Stock held by the Holder as to which a Change of Control Put was not effected (or book-entry interests representing such shares).</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Sufficient Funds</w:t>
      </w:r>
      <w:r>
        <w:rPr>
          <w:rFonts w:ascii="Times New Roman" w:cs="Times New Roman" w:eastAsia="Times New Roman" w:hAnsi="Times New Roman"/>
          <w:sz w:val="22"/>
          <w:szCs w:val="22"/>
          <w:color w:val="auto"/>
        </w:rPr>
        <w:t xml:space="preserve">. If the Company shall not have sufficient funds legally available under the DGCL to purchase all shares of Series C Preferred Stock that Holders have requested to be purchased under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xml:space="preserve">, the Company shall (i) purchase, pro rata among the Holders that have requested their shares be purchased pursuant to </w:t>
      </w:r>
      <w:r>
        <w:rPr>
          <w:rFonts w:ascii="Times New Roman" w:cs="Times New Roman" w:eastAsia="Times New Roman" w:hAnsi="Times New Roman"/>
          <w:sz w:val="22"/>
          <w:szCs w:val="22"/>
          <w:u w:val="single" w:color="auto"/>
          <w:color w:val="auto"/>
        </w:rPr>
        <w:t>Section 9(b)</w:t>
      </w:r>
      <w:r>
        <w:rPr>
          <w:rFonts w:ascii="Times New Roman" w:cs="Times New Roman" w:eastAsia="Times New Roman" w:hAnsi="Times New Roman"/>
          <w:sz w:val="22"/>
          <w:szCs w:val="22"/>
          <w:color w:val="auto"/>
        </w:rPr>
        <w:t>, a number of shares of Series C Preferred Stock with an aggregate Change of Control Put Price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amount legally available for the purchase of shares of Series C Preferred Stock under the DGCL and (ii) purchase any shares of Series C Preferred Stock not purchased because of the foregoing limitations at the applicable Change of Control Put Price as soon as practicable after the Company is able to make such purchase out of funds legally available for the purchase of such shares of Series C Preferred Stock. The inability of the Company (or its successor) to make a purchase payment for any reason shall not relieve the Company (or its successor) from its obligation to effect any required purchase when, as and if permitted by applicable law. If the Company fails to pay the Change of Control Put Price or the Change of Control Call Price in full when due in accordance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in respect of some or all of the shares of Series C Preferred Stock to be repurchased pursuant to the Change of Control Put or the Change of Control Call, the Change of Control Put Price or the Change of Control Call Price (or the unpaid portion thereof) shall accrue interest at a rate of 9.5% per annum, until such shares are repurchased, and the Change of Control Put Price or the Change of Control Call Price shall be increased by the amount of such accrued interest, for the period from and including the first date upon which the Company fails to pay the Change of Control Put Price or the Change of Control Call Price, as applicable, in full when due in accordance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through but not including the latest day upon which the Company pays the Change of Control Put Price or Change of Control Call Price, as applicable, in full (inclusive, for the avoidance of doubt, of such accrued interest) in accordance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Notwithstanding the foregoing, in the event a Holder elects to exercise a Change of Control Put pursuant to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at a time when the Company is restricted or prohibited (contractually or otherwise) from redeeming some or all of the Series C Preferred Stock subject to the Change of Control Put, the Company will use its reasonable best efforts to obtain the requisite consents to remove or obtain an exception or waiver to such restrictions or prohibition. Nothing herein shall limit a Holder’s right to pursue any other remedies available to it hereunder, at law or in equity, including, without limitation, a decree of specific performance and/or injunctive relief with respect to the Company’s failure to comply with its obligations under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In connection with any Change of Control, the Company shall take all actions to permit the purchase of all shares of Series C Preferred Stock on the Change of Control Purchase Date that it reasonably believes is permitted under Delaware law and will not render the Company insolvent (such that, on a consolidated basis, (1) the Company will have incurred debts beyond its ability to pay such debts as they mature or become due,</w:t>
      </w:r>
    </w:p>
    <w:p>
      <w:pPr>
        <w:spacing w:after="0" w:line="7" w:lineRule="exact"/>
        <w:rPr>
          <w:sz w:val="20"/>
          <w:szCs w:val="20"/>
          <w:color w:val="auto"/>
        </w:rPr>
      </w:pPr>
    </w:p>
    <w:p>
      <w:pPr>
        <w:jc w:val="both"/>
        <w:ind w:firstLine="8"/>
        <w:spacing w:after="0" w:line="260" w:lineRule="auto"/>
        <w:tabs>
          <w:tab w:leader="none" w:pos="3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then present fair saleable value of the assets of the Company will not exceed the amount that will be required to pay its probable liabilities (including the probable amount of all contingent liabilities) and its debts as they become absolute and matured or (3) the assets of the Company, in each case at a fair valuation, will not exceed its respective debts (including the probable amount of all contingent liabilities)), including revaluing the Company’s assets to the highest amount permitted by law, borrowing funds on prevailing market terms, selling assets on prevailing market terms and seeking to obtain any and all required governmental or other approvals. The Company shall not take any action that materially impairs the Company’s ability to pay the Change of Control Put Price when due, including by investing available funds in illiquid assets, except for its normal business assets (the covenants described in this </w:t>
      </w:r>
      <w:r>
        <w:rPr>
          <w:rFonts w:ascii="Times New Roman" w:cs="Times New Roman" w:eastAsia="Times New Roman" w:hAnsi="Times New Roman"/>
          <w:sz w:val="21"/>
          <w:szCs w:val="21"/>
          <w:u w:val="single" w:color="auto"/>
          <w:color w:val="auto"/>
        </w:rPr>
        <w:t>Section 9(h)</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u w:val="single" w:color="auto"/>
          <w:color w:val="auto"/>
        </w:rPr>
        <w:t>Protective Payment Obligations</w:t>
      </w:r>
      <w:r>
        <w:rPr>
          <w:rFonts w:ascii="Times New Roman" w:cs="Times New Roman" w:eastAsia="Times New Roman" w:hAnsi="Times New Roman"/>
          <w:sz w:val="21"/>
          <w:szCs w:val="21"/>
          <w:color w:val="auto"/>
        </w:rPr>
        <w:t>”). The Company shall continue to comply with the Protective Payment Obligations until the entire amount of the Change of Control Put Price is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ind w:left="-220" w:firstLine="1304"/>
        <w:spacing w:after="0" w:line="249" w:lineRule="auto"/>
        <w:tabs>
          <w:tab w:leader="none" w:pos="17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Agreements</w:t>
      </w:r>
      <w:r>
        <w:rPr>
          <w:rFonts w:ascii="Times New Roman" w:cs="Times New Roman" w:eastAsia="Times New Roman" w:hAnsi="Times New Roman"/>
          <w:sz w:val="22"/>
          <w:szCs w:val="22"/>
          <w:color w:val="auto"/>
        </w:rPr>
        <w:t xml:space="preserve">. The Company shall not enter into any agreement for, or otherwise willingly engage in, a transaction constituting a Change of Control unless (i) such agreement provides for or does not interfere with or prevent (as applicable) the exercise by the Holders of their Change of Control Put in a manner that is consistent with and gives effect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(ii) the acquiring or surviving Person in such Change of Control represents or covenants, in form and substance reasonably satisfactory to the Board acting in good faith, that at the closing of such Change of Control that such Person shall have sufficient funds (which may include, without limitation, cash and cash equivalents on the Company’s balance sheet, the proceeds of any debt or equity financing, available lines of credit or uncalled capital commitments) to consummate such Change of Control and the payment of the Change of Control Put Price in respect of shares of Series C Preferred Stock that have not been converted into Common Stock prior to the Change of Control Effective Date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as applicable.</w:t>
      </w:r>
    </w:p>
    <w:p>
      <w:pPr>
        <w:spacing w:after="0" w:line="183" w:lineRule="exact"/>
        <w:rPr>
          <w:rFonts w:ascii="Times New Roman" w:cs="Times New Roman" w:eastAsia="Times New Roman" w:hAnsi="Times New Roman"/>
          <w:sz w:val="22"/>
          <w:szCs w:val="22"/>
          <w:color w:val="auto"/>
        </w:rPr>
      </w:pPr>
    </w:p>
    <w:p>
      <w:pPr>
        <w:jc w:val="both"/>
        <w:ind w:left="-220" w:firstLine="1304"/>
        <w:spacing w:after="0" w:line="251" w:lineRule="auto"/>
        <w:tabs>
          <w:tab w:leader="none" w:pos="17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Change of Control Put/Call</w:t>
      </w:r>
      <w:r>
        <w:rPr>
          <w:rFonts w:ascii="Times New Roman" w:cs="Times New Roman" w:eastAsia="Times New Roman" w:hAnsi="Times New Roman"/>
          <w:sz w:val="22"/>
          <w:szCs w:val="22"/>
          <w:color w:val="auto"/>
        </w:rPr>
        <w:t>. Upon full payment of the Change of Control Put Price or the Change of Control Call Price, as applicable, for any shares of Series C Preferred Stock subject to a Change of Control Put or Change of Control Call, such shares will cease to be entitled to any dividends that may thereafter be payable on the Series C Preferred Stock; such shares of Series C Preferred Stock will no longer be deemed to be outstanding for any purpose; and all rights (except the right to receive the Change of Control Put Price or Change of Control Call Price, as applicable) of the Holder of such shares of Series C Preferred Stock shall cease and terminate with respect to such shares.</w:t>
      </w:r>
    </w:p>
    <w:p>
      <w:pPr>
        <w:spacing w:after="0" w:line="181" w:lineRule="exact"/>
        <w:rPr>
          <w:rFonts w:ascii="Times New Roman" w:cs="Times New Roman" w:eastAsia="Times New Roman" w:hAnsi="Times New Roman"/>
          <w:sz w:val="22"/>
          <w:szCs w:val="22"/>
          <w:color w:val="auto"/>
        </w:rPr>
      </w:pPr>
    </w:p>
    <w:p>
      <w:pPr>
        <w:jc w:val="both"/>
        <w:ind w:left="-220" w:firstLine="1304"/>
        <w:spacing w:after="0" w:line="251" w:lineRule="auto"/>
        <w:tabs>
          <w:tab w:leader="none" w:pos="171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 of Election for Change of Control Put</w:t>
      </w:r>
      <w:r>
        <w:rPr>
          <w:rFonts w:ascii="Times New Roman" w:cs="Times New Roman" w:eastAsia="Times New Roman" w:hAnsi="Times New Roman"/>
          <w:sz w:val="22"/>
          <w:szCs w:val="22"/>
          <w:color w:val="auto"/>
        </w:rPr>
        <w:t>. Notwithstanding anything to the contrary herein, any Holder’s Change of Control Election Notice may be withdrawn (in whole or in part) by means of a written notice of withdrawal delivered to the Company at any time prior to the close of business on the fourth Business Day immediately succeeding the date of delivery of a Change of Control Put Notice (or, if earlier, the close of business on the second Business Day immediately preceding the relevant Change of Control Purchase Date), specifying the number of shares of Series C Preferred Stock with respect to which such notice of withdrawal is being submitted.</w:t>
      </w:r>
    </w:p>
    <w:p>
      <w:pPr>
        <w:spacing w:after="0" w:line="181" w:lineRule="exact"/>
        <w:rPr>
          <w:rFonts w:ascii="Times New Roman" w:cs="Times New Roman" w:eastAsia="Times New Roman" w:hAnsi="Times New Roman"/>
          <w:sz w:val="22"/>
          <w:szCs w:val="22"/>
          <w:color w:val="auto"/>
        </w:rPr>
      </w:pPr>
    </w:p>
    <w:p>
      <w:pPr>
        <w:ind w:left="-220" w:firstLine="1304"/>
        <w:spacing w:after="0" w:line="271" w:lineRule="auto"/>
        <w:tabs>
          <w:tab w:leader="none" w:pos="171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above provisions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similarly apply to successive Changes of Control (or anticipated Changes of Control).</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b w:val="1"/>
          <w:bCs w:val="1"/>
          <w:u w:val="single" w:color="auto"/>
          <w:color w:val="auto"/>
        </w:rPr>
        <w:t>Anti-Dilution Adjustments.</w:t>
      </w:r>
    </w:p>
    <w:p>
      <w:pPr>
        <w:spacing w:after="0" w:line="224" w:lineRule="exact"/>
        <w:rPr>
          <w:sz w:val="20"/>
          <w:szCs w:val="20"/>
          <w:color w:val="auto"/>
        </w:rPr>
      </w:pPr>
    </w:p>
    <w:p>
      <w:pPr>
        <w:jc w:val="both"/>
        <w:ind w:left="-220" w:firstLine="1304"/>
        <w:spacing w:after="0" w:line="251" w:lineRule="auto"/>
        <w:tabs>
          <w:tab w:leader="none" w:pos="172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xml:space="preserve">. The Conversion Factor will be subject to adjustment, without duplication, upon the occurrence of the following events, except that the Company shall not make any adjustment to the Conversion Factor if Holders of the Series C Preferred Stock participate, at the same time and upon the same terms as holders of Common Stock and solely as a result of holding shares of Series C Preferred Stock, in any transaction described in this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 without having to convert their Series C Preferred Stock, as if they held a number of shares of Common Stock equal to the Conversion Rate multiplied by the number of shares of Series C Preferred Stock held by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020"/>
          </w:cols>
          <w:pgMar w:left="540" w:top="1440" w:right="339" w:bottom="1440" w:gutter="0" w:footer="0" w:header="0"/>
        </w:sectPr>
      </w:pPr>
    </w:p>
    <w:bookmarkStart w:id="30" w:name="page31"/>
    <w:bookmarkEnd w:id="30"/>
    <w:p>
      <w:pPr>
        <w:spacing w:after="0" w:line="198" w:lineRule="exact"/>
        <w:rPr>
          <w:sz w:val="20"/>
          <w:szCs w:val="20"/>
          <w:color w:val="auto"/>
        </w:rPr>
      </w:pPr>
    </w:p>
    <w:p>
      <w:pPr>
        <w:jc w:val="both"/>
        <w:ind w:firstLine="1952"/>
        <w:spacing w:after="0" w:line="256" w:lineRule="auto"/>
        <w:tabs>
          <w:tab w:leader="none" w:pos="25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Common Stock as a dividend or distribution to all or substantially all holders of Common Stock, or a subdivision, split or combination of Common Stock or a reclassification of Common Stock into a greater or lesser number of shares of Common Stock, in which event the Conversion Factor shall be adjusted based on the following formula:</w:t>
      </w:r>
    </w:p>
    <w:p>
      <w:pPr>
        <w:spacing w:after="0" w:line="9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(OS</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(i) the Record Date for such dividend or distribution, or (ii) the effective date of such subdivision, split, combination or reclassification</w:t>
      </w:r>
    </w:p>
    <w:p>
      <w:pPr>
        <w:spacing w:after="0" w:line="57"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after the close of business on (i) the Record Date for such dividend or distribution, or (ii) the effective date of such subdivision, split, combination or reclassification</w:t>
      </w:r>
    </w:p>
    <w:p>
      <w:pPr>
        <w:spacing w:after="0" w:line="44"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number of shares of Common Stock outstanding immediately prior to the close of business on (i) the Record Date for such dividend or distribution or (ii) the effective date of such subdivision, split, combination or reclassification</w:t>
      </w:r>
    </w:p>
    <w:p>
      <w:pPr>
        <w:spacing w:after="0" w:line="95"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number of shares of Common Stock that would be outstanding immediately after the close of business on (i) the Record Date for such dividend or distribution or (ii) the effective date of such subdivision, split, combination or reclassification</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Any adjustment made pursuant to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be effective immediately after the close of business on the Record Date for such dividend or distribution, or the effective date of such subdivision, split, combination or reclassification. If any such event is announced or declared but does not occur, the Conversion Factor shall be readjusted, effective as of the date the Board announces that such event shall not occur, to the Conversion Factor that would then be in effect if such event had not been declared.</w:t>
      </w:r>
    </w:p>
    <w:p>
      <w:pPr>
        <w:spacing w:after="0" w:line="179" w:lineRule="exact"/>
        <w:rPr>
          <w:sz w:val="20"/>
          <w:szCs w:val="20"/>
          <w:color w:val="auto"/>
        </w:rPr>
      </w:pPr>
    </w:p>
    <w:p>
      <w:pPr>
        <w:jc w:val="both"/>
        <w:ind w:firstLine="1952"/>
        <w:spacing w:after="0" w:line="251" w:lineRule="auto"/>
        <w:tabs>
          <w:tab w:leader="none" w:pos="258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dividend, distribution or other issuance to all or substantially all holders of Common Stock of rights (other than rights, options or warrants distributed in connection with a stockholder rights plan (in which event the provisions of </w:t>
      </w:r>
      <w:r>
        <w:rPr>
          <w:rFonts w:ascii="Times New Roman" w:cs="Times New Roman" w:eastAsia="Times New Roman" w:hAnsi="Times New Roman"/>
          <w:sz w:val="22"/>
          <w:szCs w:val="22"/>
          <w:u w:val="single" w:color="auto"/>
          <w:color w:val="auto"/>
        </w:rPr>
        <w:t>Section 10(a)(vii)</w:t>
      </w:r>
      <w:r>
        <w:rPr>
          <w:rFonts w:ascii="Times New Roman" w:cs="Times New Roman" w:eastAsia="Times New Roman" w:hAnsi="Times New Roman"/>
          <w:sz w:val="22"/>
          <w:szCs w:val="22"/>
          <w:color w:val="auto"/>
        </w:rPr>
        <w:t xml:space="preserve"> shall apply)), options or warrants entitling them to subscribe for or purchase shares of Common Stock for a period expiring forty-five (45) days or less from the date of issuance thereof, at a price per share that is less than the Current Market Price as of the Record Date for such issuance, in which event the Conversion Factor will be increased based on the following formula:</w:t>
      </w:r>
    </w:p>
    <w:p>
      <w:pPr>
        <w:spacing w:after="0" w:line="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+X) / (OS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+Y)]</w:t>
      </w:r>
    </w:p>
    <w:p>
      <w:pPr>
        <w:spacing w:after="0" w:line="151"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the Record Date for such dividend, distribution 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13"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following the close of business on the Record Date for such dividend, distribution or issuance</w:t>
      </w:r>
    </w:p>
    <w:p>
      <w:pPr>
        <w:spacing w:after="0" w:line="57"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number of shares of Common Stock outstanding immediately prior to the close of business on the Record Date for such dividend, distribution or issuance</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X = the total number of shares of Common Stock issuable pursuant to such rights, options or warrants</w:t>
      </w:r>
    </w:p>
    <w:p>
      <w:pPr>
        <w:spacing w:after="0" w:line="220" w:lineRule="exact"/>
        <w:rPr>
          <w:sz w:val="20"/>
          <w:szCs w:val="20"/>
          <w:color w:val="auto"/>
        </w:rPr>
      </w:pPr>
    </w:p>
    <w:p>
      <w:pPr>
        <w:ind w:left="1300"/>
        <w:spacing w:after="0" w:line="295" w:lineRule="auto"/>
        <w:rPr>
          <w:sz w:val="20"/>
          <w:szCs w:val="20"/>
          <w:color w:val="auto"/>
        </w:rPr>
      </w:pPr>
      <w:r>
        <w:rPr>
          <w:rFonts w:ascii="Times New Roman" w:cs="Times New Roman" w:eastAsia="Times New Roman" w:hAnsi="Times New Roman"/>
          <w:sz w:val="21"/>
          <w:szCs w:val="21"/>
          <w:color w:val="auto"/>
        </w:rPr>
        <w:t>Y = the number of shares of Common Stock equal to the aggregate price payable to exercise such rights, options or warrants divided by the Current Market Price as of the Record Date for such dividend, distribution or issuance.</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in determining whether any rights, options or warrants entitle the holders to purchase the Common Stock at a price per share that is less than the Current Market Price as of the Record Date for such dividend, distribution or issuance, there shall be taken into account any consideration the Company receives for such rights, options or warrants, and any amount payable on exercise thereof, with the value of such consideration, if other than cash, to be the Fair Market Value thereof.</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Any adjustment made pursuant to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shall become effective immediately following the close of business on the Record Date for such dividend, distribution or issuance. In the event that such rights, options or warrants are not so issued, the Conversion Factor shall be readjusted, effective as of the date the Board publicly announces its decision not to issue such rights, options or warrants, to the Conversion Factor that would then be in effect if such dividend, distribution or issuance had not been declared. To the extent that such rights, options or warrants are not exercised prior to their expiration or shares of Common Stock are otherwise not delivered pursuant to such rights, options or warrants upon the exercise of such rights, options or warrants, the Conversion Factor shall be readjusted to the Conversion Factor that would then be in effect had the adjustments made upon the dividend, distribution or issuance of such rights, options or warrants been made on the basis of the delivery of only the number of shares of Common Stock actually delivered.</w:t>
      </w:r>
    </w:p>
    <w:p>
      <w:pPr>
        <w:spacing w:after="0" w:line="180" w:lineRule="exact"/>
        <w:rPr>
          <w:sz w:val="20"/>
          <w:szCs w:val="20"/>
          <w:color w:val="auto"/>
        </w:rPr>
      </w:pPr>
    </w:p>
    <w:p>
      <w:pPr>
        <w:jc w:val="both"/>
        <w:ind w:firstLine="1952"/>
        <w:spacing w:after="0" w:line="248" w:lineRule="auto"/>
        <w:tabs>
          <w:tab w:leader="none" w:pos="259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or one or more of its Subsidiaries purchases Common Stock pursuant to a tender offer or exchange offer (other than an exchange offer that constitutes a Distribution Transaction subject to </w:t>
      </w:r>
      <w:r>
        <w:rPr>
          <w:rFonts w:ascii="Times New Roman" w:cs="Times New Roman" w:eastAsia="Times New Roman" w:hAnsi="Times New Roman"/>
          <w:sz w:val="22"/>
          <w:szCs w:val="22"/>
          <w:u w:val="single" w:color="auto"/>
          <w:color w:val="auto"/>
        </w:rPr>
        <w:t>Section 10(a)(v)</w:t>
      </w:r>
      <w:r>
        <w:rPr>
          <w:rFonts w:ascii="Times New Roman" w:cs="Times New Roman" w:eastAsia="Times New Roman" w:hAnsi="Times New Roman"/>
          <w:sz w:val="22"/>
          <w:szCs w:val="22"/>
          <w:color w:val="auto"/>
        </w:rPr>
        <w:t xml:space="preserve"> by the Company or a Subsidiary of the Company for all or any portion of the Common Stock), or otherwise acquires Common Stock (except in connection with tax withholding upon vesting or settlement of options, restricted stock units, performance share units or other similar equity awards or upon forfeiture or cashless exercise of options or other equity awards) (a “</w:t>
      </w:r>
      <w:r>
        <w:rPr>
          <w:rFonts w:ascii="Times New Roman" w:cs="Times New Roman" w:eastAsia="Times New Roman" w:hAnsi="Times New Roman"/>
          <w:sz w:val="22"/>
          <w:szCs w:val="22"/>
          <w:b w:val="1"/>
          <w:bCs w:val="1"/>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Repurchase</w:t>
      </w:r>
      <w:r>
        <w:rPr>
          <w:rFonts w:ascii="Times New Roman" w:cs="Times New Roman" w:eastAsia="Times New Roman" w:hAnsi="Times New Roman"/>
          <w:sz w:val="22"/>
          <w:szCs w:val="22"/>
          <w:color w:val="auto"/>
        </w:rPr>
        <w:t>”), if the cash and value of any other consideration included in the payment per share of Common Stock validly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tendered, exchanged or otherwise acquired through a Covered Repurchase exceeds the arithmetic average of the VWAP per share of Common Stock for each of the ten (10) consecutive full Trading Days commencing on, and including, the Trading Day next succeeding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last day on which tenders or exchanges may be made pursuant to such tender or exchange offer (as it may be amended) or shares of Common Stock are otherwise acquired through a Covered Repurchase (the “</w:t>
      </w:r>
      <w:r>
        <w:rPr>
          <w:rFonts w:ascii="Times New Roman" w:cs="Times New Roman" w:eastAsia="Times New Roman" w:hAnsi="Times New Roman"/>
          <w:sz w:val="22"/>
          <w:szCs w:val="22"/>
          <w:b w:val="1"/>
          <w:bCs w:val="1"/>
          <w:u w:val="single" w:color="auto"/>
          <w:color w:val="auto"/>
        </w:rPr>
        <w:t>Expiration Date</w:t>
      </w:r>
      <w:r>
        <w:rPr>
          <w:rFonts w:ascii="Times New Roman" w:cs="Times New Roman" w:eastAsia="Times New Roman" w:hAnsi="Times New Roman"/>
          <w:sz w:val="22"/>
          <w:szCs w:val="22"/>
          <w:color w:val="auto"/>
        </w:rPr>
        <w:t>”), in which event the Conversion Factor shall be increased based on the following formula:</w:t>
      </w:r>
    </w:p>
    <w:p>
      <w:pPr>
        <w:spacing w:after="0" w:line="10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[(FMV + (SP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 OS</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 (SP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x 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the Expiration Date</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after the close of business on the Expiration Date</w:t>
      </w:r>
    </w:p>
    <w:p>
      <w:pPr>
        <w:spacing w:after="0" w:line="236"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FMV = the Fair Market Value, on the Expiration Date, of all cash and any other consideration paid or payable for all shares validly tendered or exchanged and not withdrawn, or otherwise acquired through a Covered Repurchase, as of the Expiration Date</w:t>
      </w:r>
    </w:p>
    <w:p>
      <w:pPr>
        <w:spacing w:after="0" w:line="82"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number of shares of Common Stock outstanding immediately prior to the last time tenders or exchanges may be made pursuant to such tender or exchange offer (including the shares to be purchased in such tender or exchange offer) or shares are otherwise acquired through a Covered Repurchase</w:t>
      </w:r>
    </w:p>
    <w:p>
      <w:pPr>
        <w:spacing w:after="0" w:line="95" w:lineRule="exact"/>
        <w:rPr>
          <w:sz w:val="20"/>
          <w:szCs w:val="20"/>
          <w:color w:val="auto"/>
        </w:rPr>
      </w:pPr>
    </w:p>
    <w:p>
      <w:pPr>
        <w:jc w:val="both"/>
        <w:ind w:left="1300" w:right="20"/>
        <w:spacing w:after="0" w:line="262" w:lineRule="auto"/>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number of shares of Common Stock outstanding immediately after the last time tenders or exchanges may be made pursuant to such tender or exchange offer (after giving effect to the purchase of shares in such tender or exchange offer) or shares are otherwise acquired through a Covered Repurchase</w:t>
      </w:r>
    </w:p>
    <w:p>
      <w:pPr>
        <w:spacing w:after="0" w:line="82"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arithmetic average of the VWAP per share of Common Stock for each of the ten (10) consecutive full Trading Days commencing on, and including, the Trading Day next succeeding the Expiration Date</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Such adjustment shall become effective immediately after the close of business on the Expiration Date. If an adjustment to the Conversion Factor is required under this </w:t>
      </w:r>
      <w:r>
        <w:rPr>
          <w:rFonts w:ascii="Times New Roman" w:cs="Times New Roman" w:eastAsia="Times New Roman" w:hAnsi="Times New Roman"/>
          <w:sz w:val="22"/>
          <w:szCs w:val="22"/>
          <w:u w:val="single" w:color="auto"/>
          <w:color w:val="auto"/>
        </w:rPr>
        <w:t>Section 10(a)(iii)</w:t>
      </w:r>
      <w:r>
        <w:rPr>
          <w:rFonts w:ascii="Times New Roman" w:cs="Times New Roman" w:eastAsia="Times New Roman" w:hAnsi="Times New Roman"/>
          <w:sz w:val="22"/>
          <w:szCs w:val="22"/>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22"/>
          <w:szCs w:val="22"/>
          <w:u w:val="single" w:color="auto"/>
          <w:color w:val="auto"/>
        </w:rPr>
        <w:t>Section 10(a)(iii)</w:t>
      </w:r>
      <w:r>
        <w:rPr>
          <w:rFonts w:ascii="Times New Roman" w:cs="Times New Roman" w:eastAsia="Times New Roman" w:hAnsi="Times New Roman"/>
          <w:sz w:val="22"/>
          <w:szCs w:val="22"/>
          <w:color w:val="auto"/>
        </w:rPr>
        <w:t xml:space="preserve"> shall be delayed to the extent necessary in order to complete the calculations provided for in this </w:t>
      </w:r>
      <w:r>
        <w:rPr>
          <w:rFonts w:ascii="Times New Roman" w:cs="Times New Roman" w:eastAsia="Times New Roman" w:hAnsi="Times New Roman"/>
          <w:sz w:val="22"/>
          <w:szCs w:val="22"/>
          <w:u w:val="single" w:color="auto"/>
          <w:color w:val="auto"/>
        </w:rPr>
        <w:t>Section 10(a)(iii)</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that the Company or any of its Subsidiaries is obligated to purchase Common Stock pursuant to any such tender offer, exchange offer or other commitment to acquire shares of Common Stock through a Covered Repurchase but is permanently prevented by applicable law from effecting any such purchases, or all such purchases are rescinded, then the Conversion Factor shall be readjusted to be the Conversion Factor that would have been then in effect if such tender offer, exchange offer or Covered Repurchase had not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jc w:val="both"/>
        <w:ind w:firstLine="1952"/>
        <w:spacing w:after="0" w:line="249" w:lineRule="auto"/>
        <w:tabs>
          <w:tab w:leader="none" w:pos="25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by dividend or otherwise, distribute to all or substantially all holders of its Common Stock (other than for cash in lieu of fractional shares), shares of any class of its Capital Stock, evidences of its indebtedness, assets, other property or securities, but excluding (A) dividends or distributions referred to in </w:t>
      </w:r>
      <w:r>
        <w:rPr>
          <w:rFonts w:ascii="Times New Roman" w:cs="Times New Roman" w:eastAsia="Times New Roman" w:hAnsi="Times New Roman"/>
          <w:sz w:val="22"/>
          <w:szCs w:val="22"/>
          <w:u w:val="single" w:color="auto"/>
          <w:color w:val="auto"/>
        </w:rPr>
        <w:t>Section 10(a)(i)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hereof, (B) Distribution Transactions as to which </w:t>
      </w:r>
      <w:r>
        <w:rPr>
          <w:rFonts w:ascii="Times New Roman" w:cs="Times New Roman" w:eastAsia="Times New Roman" w:hAnsi="Times New Roman"/>
          <w:sz w:val="22"/>
          <w:szCs w:val="22"/>
          <w:u w:val="single" w:color="auto"/>
          <w:color w:val="auto"/>
        </w:rPr>
        <w:t>Section 10(a)(v)</w:t>
      </w:r>
      <w:r>
        <w:rPr>
          <w:rFonts w:ascii="Times New Roman" w:cs="Times New Roman" w:eastAsia="Times New Roman" w:hAnsi="Times New Roman"/>
          <w:sz w:val="22"/>
          <w:szCs w:val="22"/>
          <w:color w:val="auto"/>
        </w:rPr>
        <w:t xml:space="preserve"> shall apply, (C) dividends or distributions paid exclusively in cash as to which </w:t>
      </w:r>
      <w:r>
        <w:rPr>
          <w:rFonts w:ascii="Times New Roman" w:cs="Times New Roman" w:eastAsia="Times New Roman" w:hAnsi="Times New Roman"/>
          <w:sz w:val="22"/>
          <w:szCs w:val="22"/>
          <w:u w:val="single" w:color="auto"/>
          <w:color w:val="auto"/>
        </w:rPr>
        <w:t>Section 10(a)(vi)</w:t>
      </w:r>
      <w:r>
        <w:rPr>
          <w:rFonts w:ascii="Times New Roman" w:cs="Times New Roman" w:eastAsia="Times New Roman" w:hAnsi="Times New Roman"/>
          <w:sz w:val="22"/>
          <w:szCs w:val="22"/>
          <w:color w:val="auto"/>
        </w:rPr>
        <w:t xml:space="preserve"> shall apply, and (D) rights, options or warrants distributed in connection with a stockholder rights plan as to which </w:t>
      </w:r>
      <w:r>
        <w:rPr>
          <w:rFonts w:ascii="Times New Roman" w:cs="Times New Roman" w:eastAsia="Times New Roman" w:hAnsi="Times New Roman"/>
          <w:sz w:val="22"/>
          <w:szCs w:val="22"/>
          <w:u w:val="single" w:color="auto"/>
          <w:color w:val="auto"/>
        </w:rPr>
        <w:t>Section 10(a)(vii)</w:t>
      </w:r>
      <w:r>
        <w:rPr>
          <w:rFonts w:ascii="Times New Roman" w:cs="Times New Roman" w:eastAsia="Times New Roman" w:hAnsi="Times New Roman"/>
          <w:sz w:val="22"/>
          <w:szCs w:val="22"/>
          <w:color w:val="auto"/>
        </w:rPr>
        <w:t xml:space="preserve"> shall apply (any of such shares of its Capital Stock, indebtedness, assets or property that are not so excluded are hereinafter called the “</w:t>
      </w:r>
      <w:r>
        <w:rPr>
          <w:rFonts w:ascii="Times New Roman" w:cs="Times New Roman" w:eastAsia="Times New Roman" w:hAnsi="Times New Roman"/>
          <w:sz w:val="22"/>
          <w:szCs w:val="22"/>
          <w:b w:val="1"/>
          <w:bCs w:val="1"/>
          <w:u w:val="single" w:color="auto"/>
          <w:color w:val="auto"/>
        </w:rPr>
        <w:t>Distributed Property</w:t>
      </w:r>
      <w:r>
        <w:rPr>
          <w:rFonts w:ascii="Times New Roman" w:cs="Times New Roman" w:eastAsia="Times New Roman" w:hAnsi="Times New Roman"/>
          <w:sz w:val="22"/>
          <w:szCs w:val="22"/>
          <w:color w:val="auto"/>
        </w:rPr>
        <w:t>”), then, in each such case the Conversion Factor shall be increased based on the following formula:</w:t>
      </w:r>
    </w:p>
    <w:p>
      <w:pPr>
        <w:spacing w:after="0" w:line="1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FMV)]</w:t>
      </w:r>
    </w:p>
    <w:p>
      <w:pPr>
        <w:spacing w:after="0" w:line="15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the Record Date for such dividend or distribution</w:t>
      </w:r>
    </w:p>
    <w:p>
      <w:pPr>
        <w:spacing w:after="0" w:line="44" w:lineRule="exact"/>
        <w:rPr>
          <w:sz w:val="20"/>
          <w:szCs w:val="20"/>
          <w:color w:val="auto"/>
        </w:rPr>
      </w:pPr>
    </w:p>
    <w:p>
      <w:pPr>
        <w:jc w:val="both"/>
        <w:ind w:left="1300" w:right="2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after the close of business on the Record Date for such dividend or distribution</w:t>
      </w:r>
    </w:p>
    <w:p>
      <w:pPr>
        <w:spacing w:after="0" w:line="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Current Market Price as of the Record Date for such dividend or distribution</w:t>
      </w:r>
    </w:p>
    <w:p>
      <w:pPr>
        <w:spacing w:after="0" w:line="236"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 xml:space="preserve">FMV = the Fair Market Value of the portion of Distributed Property distributed with respect to each outstanding share of Common Stock on the Record Date for such dividend or distribution;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FMV is equal or greater than SP0, then in lieu of the foregoing adjustment, the Company shall distribute to each holder of Series C Preferred Stock on the date the applicable Distributed Property is distributed to holders of Common Stock, but without requiring such holder to convert its shares of Series C Preferred Stock, in respect of each share of Series C Preferred Stock held by such holder, the amount of Distributed Property such holder would have received had such holder owned a number of shares of Common Stock equal to the Conversion Rate on the Record Date for such dividend or distribution</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Any adjustment made pursuant to this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shall be effective immediately after the close of business on the Record Date for such dividend or distribution. If any such dividend or distribution is declared but does not occur, the Conversion Factor shall be readjusted, effective as of the date the Board announces that such dividend or distribution shall not occur, to the Conversion Factor that would then be in effect if such dividend or distribution had not been declared.</w:t>
      </w:r>
    </w:p>
    <w:p>
      <w:pPr>
        <w:spacing w:after="0" w:line="176" w:lineRule="exact"/>
        <w:rPr>
          <w:sz w:val="20"/>
          <w:szCs w:val="20"/>
          <w:color w:val="auto"/>
        </w:rPr>
      </w:pPr>
    </w:p>
    <w:p>
      <w:pPr>
        <w:ind w:firstLine="1952"/>
        <w:spacing w:after="0" w:line="271" w:lineRule="auto"/>
        <w:tabs>
          <w:tab w:leader="none" w:pos="258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effects a Distribution Transaction, in which case the Conversion Factor in effect immediately prior to the effective date of the Distribution Transaction shall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[(FMV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the effective date of the Distribution Transaction</w:t>
      </w:r>
    </w:p>
    <w:p>
      <w:pPr>
        <w:spacing w:after="0" w:line="57"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after the close of business on the effective date of the Distribution Transaction</w:t>
      </w:r>
    </w:p>
    <w:p>
      <w:pPr>
        <w:spacing w:after="0" w:line="129"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FMV = the arithmetic average of the volume-weighted average prices for a share of the capital stock or other interest distributed to holders of Common Stock on the principal United States securities exchange or automated quotation system on which such capital stock or other interest trades, as reported by Bloomberg (or, if Bloomberg ceases to publish such price, any successor service chosen by the Company) in respect of the period from the open of trading on the relevant Trading Day until the close of trading on such Trading Day (or if such volume-weighted average price is unavailable, the market price of one share of such capital stock or other interest on such Trading Day determined, using a volume-weighted average method, by an Independent Financial Advisor retained for such purpose by the Company), for each of the ten consecutive full Trading Days commencing with, and including, the effective date of the Distribution Transaction</w:t>
      </w:r>
    </w:p>
    <w:p>
      <w:pPr>
        <w:spacing w:after="0" w:line="114" w:lineRule="exact"/>
        <w:rPr>
          <w:sz w:val="20"/>
          <w:szCs w:val="20"/>
          <w:color w:val="auto"/>
        </w:rPr>
      </w:pPr>
    </w:p>
    <w:p>
      <w:pPr>
        <w:jc w:val="both"/>
        <w:ind w:left="1300"/>
        <w:spacing w:after="0" w:line="286" w:lineRule="auto"/>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arithmetic average of the VWAP per share of Common Stock for each of the ten (10) consecutive full Trading Days commencing on, and including, the effective date of the Distribution Transaction</w:t>
      </w:r>
    </w:p>
    <w:p>
      <w:pPr>
        <w:spacing w:after="0" w:line="1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Such adjustment shall become effective immediately following the close of business on the effective date of the Distribution Transaction. If an adjustment to the Conversion Factor is required under this </w:t>
      </w:r>
      <w:r>
        <w:rPr>
          <w:rFonts w:ascii="Times New Roman" w:cs="Times New Roman" w:eastAsia="Times New Roman" w:hAnsi="Times New Roman"/>
          <w:sz w:val="22"/>
          <w:szCs w:val="22"/>
          <w:u w:val="single" w:color="auto"/>
          <w:color w:val="auto"/>
        </w:rPr>
        <w:t>Section 10(a)(v)</w:t>
      </w:r>
      <w:r>
        <w:rPr>
          <w:rFonts w:ascii="Times New Roman" w:cs="Times New Roman" w:eastAsia="Times New Roman" w:hAnsi="Times New Roman"/>
          <w:sz w:val="22"/>
          <w:szCs w:val="22"/>
          <w:color w:val="auto"/>
        </w:rPr>
        <w:t xml:space="preserve">, delivery of any additional shares of Common Stock that may be deliverable upon conversion as a result of an adjustment required under this </w:t>
      </w:r>
      <w:r>
        <w:rPr>
          <w:rFonts w:ascii="Times New Roman" w:cs="Times New Roman" w:eastAsia="Times New Roman" w:hAnsi="Times New Roman"/>
          <w:sz w:val="22"/>
          <w:szCs w:val="22"/>
          <w:u w:val="single" w:color="auto"/>
          <w:color w:val="auto"/>
        </w:rPr>
        <w:t>Section 10(a)(v)</w:t>
      </w:r>
      <w:r>
        <w:rPr>
          <w:rFonts w:ascii="Times New Roman" w:cs="Times New Roman" w:eastAsia="Times New Roman" w:hAnsi="Times New Roman"/>
          <w:sz w:val="22"/>
          <w:szCs w:val="22"/>
          <w:color w:val="auto"/>
        </w:rPr>
        <w:t xml:space="preserve"> shall be delayed to the extent necessary in order to complete the calculations provided for in this </w:t>
      </w:r>
      <w:r>
        <w:rPr>
          <w:rFonts w:ascii="Times New Roman" w:cs="Times New Roman" w:eastAsia="Times New Roman" w:hAnsi="Times New Roman"/>
          <w:sz w:val="22"/>
          <w:szCs w:val="22"/>
          <w:u w:val="single" w:color="auto"/>
          <w:color w:val="auto"/>
        </w:rPr>
        <w:t>Section 10(a)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firstLine="1952"/>
        <w:spacing w:after="0" w:line="271" w:lineRule="auto"/>
        <w:tabs>
          <w:tab w:leader="none" w:pos="25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a cash dividend or distribution to all or substantially all holders of the Common Stock, in which case the Conversion Factor shall be increased based on the following formula:</w:t>
      </w:r>
    </w:p>
    <w:p>
      <w:pPr>
        <w:spacing w:after="0" w:line="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x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C)]</w:t>
      </w:r>
    </w:p>
    <w:p>
      <w:pPr>
        <w:spacing w:after="0" w:line="151" w:lineRule="exact"/>
        <w:rPr>
          <w:sz w:val="20"/>
          <w:szCs w:val="20"/>
          <w:color w:val="auto"/>
        </w:rPr>
      </w:pPr>
    </w:p>
    <w:p>
      <w:pPr>
        <w:ind w:left="130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Conversion Factor in effect immediately prior to the close of business on the Record Date for such dividend or distribution</w:t>
      </w:r>
    </w:p>
    <w:p>
      <w:pPr>
        <w:spacing w:after="0" w:line="44" w:lineRule="exact"/>
        <w:rPr>
          <w:sz w:val="20"/>
          <w:szCs w:val="20"/>
          <w:color w:val="auto"/>
        </w:rPr>
      </w:pPr>
    </w:p>
    <w:p>
      <w:pPr>
        <w:ind w:left="1300" w:right="20"/>
        <w:spacing w:after="0" w:line="286" w:lineRule="auto"/>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r>
        <w:rPr>
          <w:rFonts w:ascii="Times New Roman" w:cs="Times New Roman" w:eastAsia="Times New Roman" w:hAnsi="Times New Roman"/>
          <w:sz w:val="22"/>
          <w:szCs w:val="22"/>
          <w:color w:val="auto"/>
        </w:rPr>
        <w:t xml:space="preserve"> = the new Conversion Factor in effect immediately after the close of business on the Record Date for such dividend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0</w:t>
      </w:r>
      <w:r>
        <w:rPr>
          <w:rFonts w:ascii="Times New Roman" w:cs="Times New Roman" w:eastAsia="Times New Roman" w:hAnsi="Times New Roman"/>
          <w:sz w:val="22"/>
          <w:szCs w:val="22"/>
          <w:color w:val="auto"/>
        </w:rPr>
        <w:t xml:space="preserve"> = the Current Market Price as of the Record Date for such dividend or distribution</w:t>
      </w:r>
    </w:p>
    <w:p>
      <w:pPr>
        <w:spacing w:after="0" w:line="236"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 xml:space="preserve">C = the amount in cash per share of Common Stock the Company distributes to all or substantially all holders of its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C is equal or greater than SP0, then in lieu of the foregoing adjustment, the Company shall pay to each holder of Series C Preferred Stock on the date the applicable cash dividend or distribution is made to holders of Common Stock, but without requiring such holder to convert its shares of Series C Preferred Stock, in respect of each share of Series C Preferred Stock held by such holder, the amount of cash such holder would have received had such holder owned a number of shares of Common Stock equal to the Conversion Rate on the Record Date for such dividend or distribution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Any adjustment made pursuant to this </w:t>
      </w:r>
      <w:r>
        <w:rPr>
          <w:rFonts w:ascii="Times New Roman" w:cs="Times New Roman" w:eastAsia="Times New Roman" w:hAnsi="Times New Roman"/>
          <w:sz w:val="22"/>
          <w:szCs w:val="22"/>
          <w:u w:val="single" w:color="auto"/>
          <w:color w:val="auto"/>
        </w:rPr>
        <w:t>clause (vi)</w:t>
      </w:r>
      <w:r>
        <w:rPr>
          <w:rFonts w:ascii="Times New Roman" w:cs="Times New Roman" w:eastAsia="Times New Roman" w:hAnsi="Times New Roman"/>
          <w:sz w:val="22"/>
          <w:szCs w:val="22"/>
          <w:color w:val="auto"/>
        </w:rPr>
        <w:t xml:space="preserve"> shall be effective immediately after the close of business on the Record Date for such dividend or distribution. If any dividend or distribution is declared but not paid, the Conversion Factor shall be readjusted, effective as of the date the Board announces that such dividend or distribution will not be paid, to the Conversion Factor that would then be in effect if such dividend or distribution had not been declared.</w:t>
      </w:r>
    </w:p>
    <w:p>
      <w:pPr>
        <w:spacing w:after="0" w:line="179" w:lineRule="exact"/>
        <w:rPr>
          <w:sz w:val="20"/>
          <w:szCs w:val="20"/>
          <w:color w:val="auto"/>
        </w:rPr>
      </w:pPr>
    </w:p>
    <w:p>
      <w:pPr>
        <w:jc w:val="both"/>
        <w:ind w:firstLine="1952"/>
        <w:spacing w:after="0" w:line="248" w:lineRule="auto"/>
        <w:tabs>
          <w:tab w:leader="none" w:pos="258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a stockholder rights plan in effect with respect to the Common Stock on any Conversion Date, upon conversion of any shares of the Series C Preferred Stock, Holders of such shares will receive, in addition to the applicable number of shares of Common Stock, the rights under such rights plan relating to such Common Stock, unless, prior to such Conversion Date, the rights have become exercisable or separated from the shares of Common Stock (the first of such events to occur, a “</w:t>
      </w:r>
      <w:r>
        <w:rPr>
          <w:rFonts w:ascii="Times New Roman" w:cs="Times New Roman" w:eastAsia="Times New Roman" w:hAnsi="Times New Roman"/>
          <w:sz w:val="22"/>
          <w:szCs w:val="22"/>
          <w:b w:val="1"/>
          <w:bCs w:val="1"/>
          <w:u w:val="single" w:color="auto"/>
          <w:color w:val="auto"/>
        </w:rPr>
        <w:t>Trigger Event</w:t>
      </w:r>
      <w:r>
        <w:rPr>
          <w:rFonts w:ascii="Times New Roman" w:cs="Times New Roman" w:eastAsia="Times New Roman" w:hAnsi="Times New Roman"/>
          <w:sz w:val="22"/>
          <w:szCs w:val="22"/>
          <w:color w:val="auto"/>
        </w:rPr>
        <w:t xml:space="preserve">”), in which case, the Conversion Factor will be adjusted, effective automatically at the time of such Trigger Event, as if the Company had made a distribution of such rights to all holders of Common Stock as described in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(without giving effect to the forty-five (45) day limit on the exercisability of rights, options or warrants ordinarily subject to such </w:t>
      </w:r>
      <w:r>
        <w:rPr>
          <w:rFonts w:ascii="Times New Roman" w:cs="Times New Roman" w:eastAsia="Times New Roman" w:hAnsi="Times New Roman"/>
          <w:sz w:val="22"/>
          <w:szCs w:val="22"/>
          <w:u w:val="single" w:color="auto"/>
          <w:color w:val="auto"/>
        </w:rPr>
        <w:t>Section 10(a)(ii))</w:t>
      </w:r>
      <w:r>
        <w:rPr>
          <w:rFonts w:ascii="Times New Roman" w:cs="Times New Roman" w:eastAsia="Times New Roman" w:hAnsi="Times New Roman"/>
          <w:sz w:val="22"/>
          <w:szCs w:val="22"/>
          <w:color w:val="auto"/>
        </w:rPr>
        <w:t xml:space="preserve">, subject to appropriate readjustment in the event of the expiration, termination or redemption of such rights prior to the exercise, deemed exercise or exchange thereof. Notwithstanding the foregoing, to the extent any such stockholder rights are exchanged by the Company for shares of Common Stock or other property or securities, the Conversion Factor shall be appropriately readjusted as if such stockholder rights had not been issued, but the Company had instead issued such shares of Common Stock or other property or securities as a dividend or distribution of shares of Common Stock pursuant to </w:t>
      </w:r>
      <w:r>
        <w:rPr>
          <w:rFonts w:ascii="Times New Roman" w:cs="Times New Roman" w:eastAsia="Times New Roman" w:hAnsi="Times New Roman"/>
          <w:sz w:val="22"/>
          <w:szCs w:val="22"/>
          <w:u w:val="single" w:color="auto"/>
          <w:color w:val="auto"/>
        </w:rPr>
        <w:t>Section 10(a)(i)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10(a)(iv)</w:t>
      </w:r>
      <w:r>
        <w:rPr>
          <w:rFonts w:ascii="Times New Roman" w:cs="Times New Roman" w:eastAsia="Times New Roman" w:hAnsi="Times New Roman"/>
          <w:sz w:val="22"/>
          <w:szCs w:val="22"/>
          <w:color w:val="auto"/>
        </w:rPr>
        <w:t>, as applicable.</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To the extent that such rights are not exercised prior to their expiration, termination or redemption, the Conversion Factor shall be readjusted to the Conversion Factor that would then be in effect had the adjustments made upon the occurrence of the Trigger Event been made on the basis of the issuance of, and the receipt of the exercise price with respect to, only the number of shares of Common Stock actually issued pursuant to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10(a)(vii)</w:t>
      </w:r>
      <w:r>
        <w:rPr>
          <w:rFonts w:ascii="Times New Roman" w:cs="Times New Roman" w:eastAsia="Times New Roman" w:hAnsi="Times New Roman"/>
          <w:sz w:val="22"/>
          <w:szCs w:val="22"/>
          <w:color w:val="auto"/>
        </w:rPr>
        <w:t>, no adjustment shall be required to be made to the Conversion Factor with respect to any Holder which is, or is an “affiliate” or “associate” of, an “acquiring person” under such stockholder rights plan or with respect to any direct or indirect transferee of such Holder who receives Series C Preferred Stock in such transfer after the time such Holder becomes, or its affiliate or associate becomes, such an “acquiring person”.</w:t>
      </w:r>
    </w:p>
    <w:p>
      <w:pPr>
        <w:spacing w:after="0" w:line="176" w:lineRule="exact"/>
        <w:rPr>
          <w:sz w:val="20"/>
          <w:szCs w:val="20"/>
          <w:color w:val="auto"/>
        </w:rPr>
      </w:pPr>
    </w:p>
    <w:p>
      <w:pPr>
        <w:jc w:val="both"/>
        <w:ind w:firstLine="1304"/>
        <w:spacing w:after="0" w:line="247"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Adjustments</w:t>
      </w:r>
      <w:r>
        <w:rPr>
          <w:rFonts w:ascii="Times New Roman" w:cs="Times New Roman" w:eastAsia="Times New Roman" w:hAnsi="Times New Roman"/>
          <w:sz w:val="22"/>
          <w:szCs w:val="22"/>
          <w:color w:val="auto"/>
        </w:rPr>
        <w:t xml:space="preserve">. All adjustments to the Conversion Factor shall be calculated by the Company to the nearest 1/10,000th of one share of Common Stock (or if there is not a nearest 1/10,000th of a share, to the next lower 1/10,000th of a share). No adjustment to the Conversion Factor will be required unless such adjustment would require an increase or decrease of at least one percent of the Conversion Factor;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adjustment that is not required to be made will be carried forward and taken into account in any subsequent adjustment;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any such adjustment of less than one percent that has not been made will be made upon any Conversion Date or redemption or repurchase date. To the extent that the event triggering an adjustment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occurs prior to the close of business on the applicable date, references to “prior to the close of business” and “after the close of business” (and similar terms) in the formulas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shall be modified to refer to the points in time prior to giving effect to the applicable event and after giving effect to the applicable event, respectively.</w:t>
      </w:r>
    </w:p>
    <w:p>
      <w:pPr>
        <w:spacing w:after="0" w:line="20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When No Adjustment Required</w:t>
      </w:r>
      <w:r>
        <w:rPr>
          <w:rFonts w:ascii="Times New Roman" w:cs="Times New Roman" w:eastAsia="Times New Roman" w:hAnsi="Times New Roman"/>
          <w:sz w:val="22"/>
          <w:szCs w:val="22"/>
          <w:color w:val="auto"/>
        </w:rPr>
        <w:t xml:space="preserve">. (i) Except as otherwise provided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Conversion Factor will not be adjusted for the issuance of Common Stock or any securities convertible into or exchangeable for Common Stock or carrying the right to purchase any of the foregoing, or for the repurchase of Common Stock.</w:t>
      </w:r>
    </w:p>
    <w:p>
      <w:pPr>
        <w:spacing w:after="0" w:line="172"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Conversion Factor will not be adjusted as a result of the issuance of, the distribution of separate certificates representing, the exercise or redemption of, or the termination or invalidation of, rights pursuant to any stockholder rights plans.</w:t>
      </w:r>
    </w:p>
    <w:p>
      <w:pPr>
        <w:spacing w:after="0" w:line="16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adjustment to the Conversion Factor will be made:</w:t>
      </w:r>
    </w:p>
    <w:p>
      <w:pPr>
        <w:spacing w:after="0" w:line="219"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29"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Common Stock issued pursuant to any present or future plan providing for the reinvestment of dividends or interest payable on securities of the Company and the investment of additional optional amounts in Common Stock under any plan in which purchases are made at market prices on the date or dates of purchase, without discount, and whether or not the Company bears the ordinary costs of administration and operation of the plan, including brokerage commissions;</w:t>
      </w:r>
    </w:p>
    <w:p>
      <w:pPr>
        <w:spacing w:after="0" w:line="178" w:lineRule="exact"/>
        <w:rPr>
          <w:rFonts w:ascii="Times New Roman" w:cs="Times New Roman" w:eastAsia="Times New Roman" w:hAnsi="Times New Roman"/>
          <w:sz w:val="22"/>
          <w:szCs w:val="22"/>
          <w:color w:val="auto"/>
        </w:rPr>
      </w:pPr>
    </w:p>
    <w:p>
      <w:pPr>
        <w:ind w:firstLine="2600"/>
        <w:spacing w:after="0" w:line="271" w:lineRule="auto"/>
        <w:tabs>
          <w:tab w:leader="none" w:pos="3231"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Common Stock pursuant to any option, warrant, right, or exercisable, exchangeable or convertible security, including the Series C Preferred Stock; or</w:t>
      </w:r>
    </w:p>
    <w:p>
      <w:pPr>
        <w:spacing w:after="0" w:line="157"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change in the par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jc w:val="both"/>
        <w:ind w:left="-220" w:firstLine="1304"/>
        <w:spacing w:after="0" w:line="257" w:lineRule="auto"/>
        <w:tabs>
          <w:tab w:leader="none" w:pos="17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Successive Adjustments</w:t>
      </w:r>
      <w:r>
        <w:rPr>
          <w:rFonts w:ascii="Times New Roman" w:cs="Times New Roman" w:eastAsia="Times New Roman" w:hAnsi="Times New Roman"/>
          <w:sz w:val="22"/>
          <w:szCs w:val="22"/>
          <w:color w:val="auto"/>
        </w:rPr>
        <w:t xml:space="preserve">. After an adjustment to the Conversion Factor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any subsequent event requiring an adjustment under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cause an adjustment to each such Conversion Factor as so adjusted.</w:t>
      </w:r>
    </w:p>
    <w:p>
      <w:pPr>
        <w:spacing w:after="0" w:line="186" w:lineRule="exact"/>
        <w:rPr>
          <w:rFonts w:ascii="Times New Roman" w:cs="Times New Roman" w:eastAsia="Times New Roman" w:hAnsi="Times New Roman"/>
          <w:sz w:val="22"/>
          <w:szCs w:val="22"/>
          <w:color w:val="auto"/>
        </w:rPr>
      </w:pPr>
    </w:p>
    <w:p>
      <w:pPr>
        <w:jc w:val="both"/>
        <w:ind w:left="-220" w:firstLine="1304"/>
        <w:spacing w:after="0" w:line="268" w:lineRule="auto"/>
        <w:tabs>
          <w:tab w:leader="none" w:pos="172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Multiple Adjustments</w:t>
      </w:r>
      <w:r>
        <w:rPr>
          <w:rFonts w:ascii="Times New Roman" w:cs="Times New Roman" w:eastAsia="Times New Roman" w:hAnsi="Times New Roman"/>
          <w:sz w:val="21"/>
          <w:szCs w:val="21"/>
          <w:color w:val="auto"/>
        </w:rPr>
        <w:t xml:space="preserve">. For the avoidance of doubt, if an event occurs that would trigger an adjustment to the Conversion Factor pursuant to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under more than one subsection hereof, such event, to the extent fully taken into account in a single adjustment, shall not result in multiple adjustments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more than one subsection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is applicable to a single event, the subsection shall be applied that produces the largest adjustment.</w:t>
      </w:r>
    </w:p>
    <w:p>
      <w:pPr>
        <w:spacing w:after="0" w:line="163" w:lineRule="exact"/>
        <w:rPr>
          <w:rFonts w:ascii="Times New Roman" w:cs="Times New Roman" w:eastAsia="Times New Roman" w:hAnsi="Times New Roman"/>
          <w:sz w:val="21"/>
          <w:szCs w:val="21"/>
          <w:color w:val="auto"/>
        </w:rPr>
      </w:pPr>
    </w:p>
    <w:p>
      <w:pPr>
        <w:jc w:val="both"/>
        <w:ind w:left="-220" w:firstLine="1304"/>
        <w:spacing w:after="0" w:line="263" w:lineRule="auto"/>
        <w:tabs>
          <w:tab w:leader="none" w:pos="172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Adjustments</w:t>
      </w:r>
      <w:r>
        <w:rPr>
          <w:rFonts w:ascii="Times New Roman" w:cs="Times New Roman" w:eastAsia="Times New Roman" w:hAnsi="Times New Roman"/>
          <w:sz w:val="22"/>
          <w:szCs w:val="22"/>
          <w:color w:val="auto"/>
        </w:rPr>
        <w:t xml:space="preserve">. Whenever any event of the type described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has occurred, the Company shall as soon as reasonably practicable following the occurrence of an event that requires such adjustment (or if the Company is not aware of such occurrence, as soon as reasonably practicable after becoming so aware):</w:t>
      </w:r>
    </w:p>
    <w:p>
      <w:pPr>
        <w:spacing w:after="0" w:line="167" w:lineRule="exact"/>
        <w:rPr>
          <w:rFonts w:ascii="Times New Roman" w:cs="Times New Roman" w:eastAsia="Times New Roman" w:hAnsi="Times New Roman"/>
          <w:sz w:val="22"/>
          <w:szCs w:val="22"/>
          <w:color w:val="auto"/>
        </w:rPr>
      </w:pPr>
    </w:p>
    <w:p>
      <w:pPr>
        <w:jc w:val="both"/>
        <w:ind w:left="-220" w:firstLine="1952"/>
        <w:spacing w:after="0" w:line="257" w:lineRule="auto"/>
        <w:tabs>
          <w:tab w:leader="none" w:pos="23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compute the adjusted applicable Conversion Factor in accordance with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and prepare and transmit to the Conversion Agent an Officer’s Certificate setting forth the applicable Conversion Factor, the method of calculation thereof, and the facts requiring such adjustment and upon which such adjustment is based; and</w:t>
      </w:r>
    </w:p>
    <w:p>
      <w:pPr>
        <w:spacing w:after="0" w:line="172" w:lineRule="exact"/>
        <w:rPr>
          <w:rFonts w:ascii="Times New Roman" w:cs="Times New Roman" w:eastAsia="Times New Roman" w:hAnsi="Times New Roman"/>
          <w:sz w:val="22"/>
          <w:szCs w:val="22"/>
          <w:color w:val="auto"/>
        </w:rPr>
      </w:pPr>
    </w:p>
    <w:p>
      <w:pPr>
        <w:jc w:val="both"/>
        <w:ind w:left="-220" w:firstLine="1952"/>
        <w:spacing w:after="0" w:line="263" w:lineRule="auto"/>
        <w:tabs>
          <w:tab w:leader="none" w:pos="236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written notice to the Holders of the occurrence of such event and a statement in reasonable detail setting forth the method by which the adjustment to the applicable Conversion Factor was determined and setting forth the adjusted applicable Conversion Factor.</w:t>
      </w:r>
    </w:p>
    <w:p>
      <w:pPr>
        <w:spacing w:after="0" w:line="167" w:lineRule="exact"/>
        <w:rPr>
          <w:rFonts w:ascii="Times New Roman" w:cs="Times New Roman" w:eastAsia="Times New Roman" w:hAnsi="Times New Roman"/>
          <w:sz w:val="22"/>
          <w:szCs w:val="22"/>
          <w:color w:val="auto"/>
        </w:rPr>
      </w:pPr>
    </w:p>
    <w:p>
      <w:pPr>
        <w:jc w:val="both"/>
        <w:ind w:left="-220" w:firstLine="1304"/>
        <w:spacing w:after="0" w:line="248" w:lineRule="auto"/>
        <w:tabs>
          <w:tab w:leader="none" w:pos="17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Agent</w:t>
      </w:r>
      <w:r>
        <w:rPr>
          <w:rFonts w:ascii="Times New Roman" w:cs="Times New Roman" w:eastAsia="Times New Roman" w:hAnsi="Times New Roman"/>
          <w:sz w:val="22"/>
          <w:szCs w:val="22"/>
          <w:color w:val="auto"/>
        </w:rPr>
        <w:t xml:space="preserve">. The Conversion Agent shall not at any time be under any duty or responsibility to any Holder to determine whether any facts exist that may require any adjustment of the Conversion Factor or with respect to the nature or extent or calculation of any such adjustment when made, or with respect to the method employed in making the same. The Conversion Agent shall be fully authorized and protected in relying on any Officer’s Certificate delivered pursuant to this </w:t>
      </w:r>
      <w:r>
        <w:rPr>
          <w:rFonts w:ascii="Times New Roman" w:cs="Times New Roman" w:eastAsia="Times New Roman" w:hAnsi="Times New Roman"/>
          <w:sz w:val="22"/>
          <w:szCs w:val="22"/>
          <w:u w:val="single" w:color="auto"/>
          <w:color w:val="auto"/>
        </w:rPr>
        <w:t>Section 10(g)</w:t>
      </w:r>
      <w:r>
        <w:rPr>
          <w:rFonts w:ascii="Times New Roman" w:cs="Times New Roman" w:eastAsia="Times New Roman" w:hAnsi="Times New Roman"/>
          <w:sz w:val="22"/>
          <w:szCs w:val="22"/>
          <w:color w:val="auto"/>
        </w:rPr>
        <w:t xml:space="preserve"> and any adjustment contained therein and the Conversion Agent shall not be deemed to have knowledge of any adjustment unless and until it has received such certificate. The Conversion Agent shall not be accountable with respect to the validity or value (or the kind or amount) of any shares of Common Stock, or of any securities or property, that may at the time be issued or delivered with respect to any Series C Preferred Stock and the Conversion Agent makes no representation with respect thereto. The Conversion Agent shall not be responsible for any failure of the Company to issue, transfer or deliver any shares of Common Stock pursuant to the conversion of Series C Preferred Stock or to comply with any of the duties, responsibilities or covenants of the Company contained in this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left="-220" w:firstLine="1304"/>
        <w:spacing w:after="0" w:line="257" w:lineRule="auto"/>
        <w:tabs>
          <w:tab w:leader="none" w:pos="171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No fractional shares of Common Stock will be delivered to the Holders upon conversion. In lieu of fractional shares otherwise issuable, the Holders will be entitled to receive an amount in cash equal to the fraction of a share of Common Stock multiplied by the Closing Price of the Common Stock on the Trading Day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020"/>
          </w:cols>
          <w:pgMar w:left="540" w:top="1440" w:right="339" w:bottom="1440" w:gutter="0" w:footer="0" w:header="0"/>
        </w:sectPr>
      </w:pPr>
    </w:p>
    <w:bookmarkStart w:id="38" w:name="page39"/>
    <w:bookmarkEnd w:id="38"/>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preceding the applicable Conversion Date. In order to determine whether the number of shares of Common Stock to be delivered to a Holder upon the conversion of such Holder’s shares of Series C Preferred Stock will include a fractional share, such determination shall be based on the aggregate number of shares of Series C Preferred Stock of such Holder that are being converted on any single Conversion Date.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b w:val="1"/>
          <w:bCs w:val="1"/>
          <w:u w:val="single" w:color="auto"/>
          <w:color w:val="auto"/>
        </w:rPr>
        <w:t>Reorganization Events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Events</w:t>
      </w:r>
      <w:r>
        <w:rPr>
          <w:rFonts w:ascii="Times New Roman" w:cs="Times New Roman" w:eastAsia="Times New Roman" w:hAnsi="Times New Roman"/>
          <w:sz w:val="22"/>
          <w:szCs w:val="22"/>
          <w:color w:val="auto"/>
        </w:rPr>
        <w:t>. In the event of:</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reclassification, statutory exchange, merger, consolidation or other similar business combination of the Company with or into another Person, in each case, pursuant to which at least a majority of the Common Stock is changed or converted into, or exchanged for, cash, securities or other property of the Company or another Person;</w:t>
      </w:r>
    </w:p>
    <w:p>
      <w:pPr>
        <w:spacing w:after="0" w:line="167" w:lineRule="exact"/>
        <w:rPr>
          <w:rFonts w:ascii="Times New Roman" w:cs="Times New Roman" w:eastAsia="Times New Roman" w:hAnsi="Times New Roman"/>
          <w:sz w:val="22"/>
          <w:szCs w:val="22"/>
          <w:color w:val="auto"/>
        </w:rPr>
      </w:pPr>
    </w:p>
    <w:p>
      <w:pPr>
        <w:ind w:firstLine="1952"/>
        <w:spacing w:after="0" w:line="295" w:lineRule="auto"/>
        <w:tabs>
          <w:tab w:leader="none" w:pos="258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transfer, lease or conveyance to another Person of all or a majority of the property and assets of the Company, in each case pursuant to which the Common Stock is converted into cash, securities or other property; or</w:t>
      </w:r>
    </w:p>
    <w:p>
      <w:pPr>
        <w:spacing w:after="0" w:line="135" w:lineRule="exact"/>
        <w:rPr>
          <w:rFonts w:ascii="Times New Roman" w:cs="Times New Roman" w:eastAsia="Times New Roman" w:hAnsi="Times New Roman"/>
          <w:sz w:val="21"/>
          <w:szCs w:val="21"/>
          <w:color w:val="auto"/>
        </w:rPr>
      </w:pPr>
    </w:p>
    <w:p>
      <w:pPr>
        <w:ind w:firstLine="1952"/>
        <w:spacing w:after="0" w:line="295" w:lineRule="auto"/>
        <w:tabs>
          <w:tab w:leader="none" w:pos="259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statutory exchange of securities of the Company with another Person (other than in connection with a merger or acquisition) or reclassification, recapitalization or reorganization of the Common Stock into other securities;</w:t>
      </w:r>
    </w:p>
    <w:p>
      <w:pPr>
        <w:spacing w:after="0" w:line="1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(each of which is referred to as a “</w:t>
      </w:r>
      <w:r>
        <w:rPr>
          <w:rFonts w:ascii="Times New Roman" w:cs="Times New Roman" w:eastAsia="Times New Roman" w:hAnsi="Times New Roman"/>
          <w:sz w:val="21"/>
          <w:szCs w:val="21"/>
          <w:b w:val="1"/>
          <w:bCs w:val="1"/>
          <w:u w:val="single" w:color="auto"/>
          <w:color w:val="auto"/>
        </w:rPr>
        <w:t>Reorganization Event</w:t>
      </w:r>
      <w:r>
        <w:rPr>
          <w:rFonts w:ascii="Times New Roman" w:cs="Times New Roman" w:eastAsia="Times New Roman" w:hAnsi="Times New Roman"/>
          <w:sz w:val="21"/>
          <w:szCs w:val="21"/>
          <w:color w:val="auto"/>
        </w:rPr>
        <w:t xml:space="preserve">”), each share of Series C Preferred Stock outstanding immediately prior to such Reorganization Event will, without the consent of the Holders and subject to </w:t>
      </w:r>
      <w:r>
        <w:rPr>
          <w:rFonts w:ascii="Times New Roman" w:cs="Times New Roman" w:eastAsia="Times New Roman" w:hAnsi="Times New Roman"/>
          <w:sz w:val="21"/>
          <w:szCs w:val="21"/>
          <w:u w:val="single" w:color="auto"/>
          <w:color w:val="auto"/>
        </w:rPr>
        <w:t>Section 11(d)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12(b)</w:t>
      </w:r>
      <w:r>
        <w:rPr>
          <w:rFonts w:ascii="Times New Roman" w:cs="Times New Roman" w:eastAsia="Times New Roman" w:hAnsi="Times New Roman"/>
          <w:sz w:val="21"/>
          <w:szCs w:val="21"/>
          <w:color w:val="auto"/>
        </w:rPr>
        <w:t xml:space="preserve">, remain outstanding but shall become convertible into, in accordance with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number, kind and amount of securities, cash and other property (the “</w:t>
      </w:r>
      <w:r>
        <w:rPr>
          <w:rFonts w:ascii="Times New Roman" w:cs="Times New Roman" w:eastAsia="Times New Roman" w:hAnsi="Times New Roman"/>
          <w:sz w:val="21"/>
          <w:szCs w:val="21"/>
          <w:b w:val="1"/>
          <w:bCs w:val="1"/>
          <w:u w:val="single" w:color="auto"/>
          <w:color w:val="auto"/>
        </w:rPr>
        <w:t>Exchange Property</w:t>
      </w:r>
      <w:r>
        <w:rPr>
          <w:rFonts w:ascii="Times New Roman" w:cs="Times New Roman" w:eastAsia="Times New Roman" w:hAnsi="Times New Roman"/>
          <w:sz w:val="21"/>
          <w:szCs w:val="21"/>
          <w:color w:val="auto"/>
        </w:rPr>
        <w:t xml:space="preserve">”) (without any interest on such Exchange Property and without any right to dividends or distributions on such Exchange Property which have a record date that is prior to the applicable Conversion Date) that the Holder of such share of Series C Preferred Stock would have received in such Reorganization Event had such Holder converted its shares of Series C Preferred Stock into the applicable number of shares of Common Stock immediately prior to the effective date of the Reorganization Event using the Conversion Rate applicable immediately prior to the effective date of the Reorganization Event;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shall not apply if such Holder is a Person with which the Company consolidated or into which the Company merged or which merged into the Company or to which such sale or transfer was made, as the case may be (any such Person, a “</w:t>
      </w:r>
      <w:r>
        <w:rPr>
          <w:rFonts w:ascii="Times New Roman" w:cs="Times New Roman" w:eastAsia="Times New Roman" w:hAnsi="Times New Roman"/>
          <w:sz w:val="21"/>
          <w:szCs w:val="21"/>
          <w:b w:val="1"/>
          <w:bCs w:val="1"/>
          <w:u w:val="single" w:color="auto"/>
          <w:color w:val="auto"/>
        </w:rPr>
        <w:t>Constituent Person</w:t>
      </w:r>
      <w:r>
        <w:rPr>
          <w:rFonts w:ascii="Times New Roman" w:cs="Times New Roman" w:eastAsia="Times New Roman" w:hAnsi="Times New Roman"/>
          <w:sz w:val="21"/>
          <w:szCs w:val="21"/>
          <w:color w:val="auto"/>
        </w:rPr>
        <w:t xml:space="preserve">”), or an Affiliate of a Constituent Person, to the extent such Reorganization Event provides for different treatment of Common Stock held by such Constituent Persons or such Affiliate thereof. If the kind or amount of securities, cash and other property receivable upon such Reorganization Event is not the same for each share of Common Stock held immediately prior to such Reorganization Event by a Person (other than a Constituent Person or an Affiliate thereof), then for the purpose of this </w:t>
      </w:r>
      <w:r>
        <w:rPr>
          <w:rFonts w:ascii="Times New Roman" w:cs="Times New Roman" w:eastAsia="Times New Roman" w:hAnsi="Times New Roman"/>
          <w:sz w:val="21"/>
          <w:szCs w:val="21"/>
          <w:u w:val="single" w:color="auto"/>
          <w:color w:val="auto"/>
        </w:rPr>
        <w:t>Section 11(a)</w:t>
      </w:r>
      <w:r>
        <w:rPr>
          <w:rFonts w:ascii="Times New Roman" w:cs="Times New Roman" w:eastAsia="Times New Roman" w:hAnsi="Times New Roman"/>
          <w:sz w:val="21"/>
          <w:szCs w:val="21"/>
          <w:color w:val="auto"/>
        </w:rPr>
        <w:t>, the kind and amount of securities, cash and other property receivable upon conversion following such Reorganization Event will be deemed to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weighted average of the types and amounts of consideration received by the holders of Common Stock.</w:t>
      </w:r>
    </w:p>
    <w:p>
      <w:pPr>
        <w:spacing w:after="0" w:line="220" w:lineRule="exact"/>
        <w:rPr>
          <w:sz w:val="20"/>
          <w:szCs w:val="20"/>
          <w:color w:val="auto"/>
        </w:rPr>
      </w:pPr>
    </w:p>
    <w:p>
      <w:pPr>
        <w:jc w:val="both"/>
        <w:ind w:firstLine="1304"/>
        <w:spacing w:after="0" w:line="263"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Successive Reorganization Events</w:t>
      </w:r>
      <w:r>
        <w:rPr>
          <w:rFonts w:ascii="Times New Roman" w:cs="Times New Roman" w:eastAsia="Times New Roman" w:hAnsi="Times New Roman"/>
          <w:sz w:val="22"/>
          <w:szCs w:val="22"/>
          <w:color w:val="auto"/>
        </w:rPr>
        <w:t xml:space="preserve">. The above provisions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similarly apply to successive Reorganization Events and the provisions of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shall apply to any shares of Capital Stock (as though such Capital Stock were Common Stock) received by the holders of the Common Stock in any such Reorganization Event.</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Event Notice</w:t>
      </w:r>
      <w:r>
        <w:rPr>
          <w:rFonts w:ascii="Times New Roman" w:cs="Times New Roman" w:eastAsia="Times New Roman" w:hAnsi="Times New Roman"/>
          <w:sz w:val="22"/>
          <w:szCs w:val="22"/>
          <w:color w:val="auto"/>
        </w:rPr>
        <w:t xml:space="preserve">. The Company (or any successor) shall, no less than thirty (30) days prior to the anticipated effective date of any Reorganization Event, provide written notice to the Holders of such occurrence of such event and of the kind and amount of the cash, securities or other property that constitutes the Exchange Property. Failure to deliver such notice shall not affect the operation of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Event Agreements</w:t>
      </w:r>
      <w:r>
        <w:rPr>
          <w:rFonts w:ascii="Times New Roman" w:cs="Times New Roman" w:eastAsia="Times New Roman" w:hAnsi="Times New Roman"/>
          <w:sz w:val="22"/>
          <w:szCs w:val="22"/>
          <w:color w:val="auto"/>
        </w:rPr>
        <w:t xml:space="preserve">. The Company shall not enter into any agreement for a transaction constituting a Reorganization Event unless (i) such agreement provides for or does not interfere with or prevent (as applicable) conversion of the Series C Preferred Stock into the Exchange Property in a manner that is consistent with and gives effect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and (ii) to the extent that the Company is not the surviving corporation in such Reorganization Event or will be dissolved in connection with such Reorganization Event, proper provision shall be made in the agreements governing such Reorganization Event for the conversion of the Series C Preferred Stock into stock of the Person surviving such Reorganization Event or such other continuing entity in such Reorganization Event.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b w:val="1"/>
          <w:bCs w:val="1"/>
          <w:u w:val="single" w:color="auto"/>
          <w:color w:val="auto"/>
        </w:rPr>
        <w:t>Voting Rights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48" w:lineRule="auto"/>
        <w:tabs>
          <w:tab w:leader="none" w:pos="194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Holders of shares of Series C Preferred Stock shall be entitled to vote as a single class with the holders of the Common Stock and the holders of any other class or series of Capital Stock of the Company then entitled to vote with the Common Stock on all matters submitted to a vote of the holders of Common Stock (and, if applicable, holders of any other class or series of Capital Stock of the Company). The Holders shall be entitled to notice of any meeting of holders of Common Stock in accordance with the Certificate of Incorporation and Bylaws of the Company. Each Holder shall be entitled to the number of votes equal to the product of (i) the largest number of whole shares of Common Stock into which all shares of Series C Preferred Stock could be converted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multiplied by (ii) a fraction the numerator of which is the number of shares of Series C Preferred Stock held by such Holder and the denominator of which is the aggregate number of issued and outstanding shares of Series C Preferred Stock, in each case, at and calculated as of the record date for the determination of stockholders entitled to vote or consent on such matters or, if no such record date is established, at and as of the date such vote or consent is taken or any written consent of stockholders is first executed;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to the extent (x) the Series C Preferred Stock and (y) any shares of Common Stock held as of the Original Issuance Date by any Investor, together with its Permitted Transferees and Affiliates, would, in the aggregate (but without taking into consideration shares of Series C Preferred Stock or Common Stock held by any other Investor, together with its Permitted Transferees and Affiliates), represent voting rights with respect to more than 16.66%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of the Company’s Common Stock (including the Series C Preferred Stock on an as-converted basis) (the “</w:t>
      </w:r>
      <w:r>
        <w:rPr>
          <w:rFonts w:ascii="Times New Roman" w:cs="Times New Roman" w:eastAsia="Times New Roman" w:hAnsi="Times New Roman"/>
          <w:sz w:val="21"/>
          <w:szCs w:val="21"/>
          <w:b w:val="1"/>
          <w:bCs w:val="1"/>
          <w:u w:val="single" w:color="auto"/>
          <w:color w:val="auto"/>
        </w:rPr>
        <w:t>Voting Threshold</w:t>
      </w:r>
      <w:r>
        <w:rPr>
          <w:rFonts w:ascii="Times New Roman" w:cs="Times New Roman" w:eastAsia="Times New Roman" w:hAnsi="Times New Roman"/>
          <w:sz w:val="21"/>
          <w:szCs w:val="21"/>
          <w:color w:val="auto"/>
        </w:rPr>
        <w:t>”), such Investor, together with its Permitted Transferees and Affiliates, will not be permitted to exercise the voting rights with respect to any shares of Series C Preferred Stock held by them in excess of the Voting Threshold and the Company shall exercise the voting rights with respect to such shares of Series C Preferred Stock in excess of the Voting Threshold in a Neutral Manner. To the extent that a Holder acquires shares of Series C Preferred Stock from another Holder, the acquiring Holder’s Voting Threshold will be increased proportionately based on the number of shares of Series C Preferred Stock that such Holder acquires and the disposing Holder’s Voting Threshold will be decreased proportionately based on the number of shares of Series C Preferred Stock that such Holder disposes of, such that the aggregate Voting Threshold of all Holders does not exceed 49.99%.</w:t>
      </w:r>
    </w:p>
    <w:p>
      <w:pPr>
        <w:spacing w:after="0" w:line="182" w:lineRule="exact"/>
        <w:rPr>
          <w:sz w:val="20"/>
          <w:szCs w:val="20"/>
          <w:color w:val="auto"/>
        </w:rPr>
      </w:pPr>
    </w:p>
    <w:p>
      <w:pPr>
        <w:jc w:val="both"/>
        <w:ind w:firstLine="1304"/>
        <w:spacing w:after="0" w:line="250"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Adverse Changes</w:t>
      </w:r>
      <w:r>
        <w:rPr>
          <w:rFonts w:ascii="Times New Roman" w:cs="Times New Roman" w:eastAsia="Times New Roman" w:hAnsi="Times New Roman"/>
          <w:sz w:val="22"/>
          <w:szCs w:val="22"/>
          <w:color w:val="auto"/>
        </w:rPr>
        <w:t xml:space="preserve">. In addition to, and not in limitation of,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the vote or consent of the Holders of at least 75% of the shares of Series C Preferred Stock outstanding at such time, voting together as a separate class, given in person or by proxy, either in writing without a meeting or by vote at any meeting called for the purpose, will be necessary for, directly or indirectly, effecting or validating any of the following actions, whether or not such approval is required pursuant to the DGCL:</w:t>
      </w:r>
    </w:p>
    <w:p>
      <w:pPr>
        <w:spacing w:after="0" w:line="180"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alteration or repeal (whether by merger, consolidation or otherwise) of any provision of the Certificate of Incorporation (including this Certificate of Designations) or Bylaws that would have an adverse effect on the rights, preferences, privileges or voting power of the Series C Preferred Stock;</w:t>
      </w:r>
    </w:p>
    <w:p>
      <w:pPr>
        <w:spacing w:after="0" w:line="167" w:lineRule="exact"/>
        <w:rPr>
          <w:rFonts w:ascii="Times New Roman" w:cs="Times New Roman" w:eastAsia="Times New Roman" w:hAnsi="Times New Roman"/>
          <w:sz w:val="22"/>
          <w:szCs w:val="22"/>
          <w:color w:val="auto"/>
        </w:rPr>
      </w:pPr>
    </w:p>
    <w:p>
      <w:pPr>
        <w:jc w:val="both"/>
        <w:ind w:firstLine="1952"/>
        <w:spacing w:after="0" w:line="265" w:lineRule="auto"/>
        <w:tabs>
          <w:tab w:leader="none" w:pos="2586"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or alteration (whether by merger, consolidation or otherwise) of, or any supplement (whether by a certificate of designations or otherwise) to, the Certificate of Incorporation or any provision thereof, or any other action to authorize or create, or increase the number of authorized or issued shares of, or any securities convertible into shares of, or reclassify any security into, or issue, any Parity Stock or Senior Stock or any other class or series of Capital Stock of the Company ranking senior to, or on a parity basis with, the Series C Preferred Stock as to dividend rights or rights on the distribution of assets on any voluntary or involuntary liquidation, dissolution or winding up of the affairs of the Company; or</w:t>
      </w:r>
    </w:p>
    <w:p>
      <w:pPr>
        <w:spacing w:after="0" w:line="168" w:lineRule="exact"/>
        <w:rPr>
          <w:rFonts w:ascii="Times New Roman" w:cs="Times New Roman" w:eastAsia="Times New Roman" w:hAnsi="Times New Roman"/>
          <w:sz w:val="21"/>
          <w:szCs w:val="21"/>
          <w:color w:val="auto"/>
        </w:rPr>
      </w:pPr>
    </w:p>
    <w:p>
      <w:pPr>
        <w:ind w:right="20" w:firstLine="1952"/>
        <w:spacing w:after="0" w:line="271" w:lineRule="auto"/>
        <w:tabs>
          <w:tab w:leader="none" w:pos="25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increase or decrease in the authorized number of shares of Series C Preferred Stock or issuance of shares of Series C Preferred Stock after the Original Issuance Date.</w:t>
      </w:r>
    </w:p>
    <w:p>
      <w:pPr>
        <w:spacing w:after="0" w:line="171"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Series C Preferred Stock will have one vote per share on any matter on which Holders of Series C Preferred Stock are entitled to vote separately as a class, whether at a meeting or by written consent.</w:t>
      </w:r>
    </w:p>
    <w:p>
      <w:pPr>
        <w:spacing w:after="0" w:line="157" w:lineRule="exact"/>
        <w:rPr>
          <w:rFonts w:ascii="Times New Roman" w:cs="Times New Roman" w:eastAsia="Times New Roman" w:hAnsi="Times New Roman"/>
          <w:sz w:val="22"/>
          <w:szCs w:val="22"/>
          <w:color w:val="auto"/>
        </w:rPr>
      </w:pPr>
    </w:p>
    <w:p>
      <w:pPr>
        <w:jc w:val="both"/>
        <w:ind w:firstLine="1304"/>
        <w:spacing w:after="0" w:line="275" w:lineRule="auto"/>
        <w:tabs>
          <w:tab w:leader="none" w:pos="193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the vote or consent of the Holders of 75% of the shares of Series C Preferred Stock outstanding at such time, voting together as a single class, given in person or by proxy, either in writing without a meeting or by vote at any meeting called for the purpose, will be required to waive or amend the provisions of </w:t>
      </w:r>
      <w:r>
        <w:rPr>
          <w:rFonts w:ascii="Times New Roman" w:cs="Times New Roman" w:eastAsia="Times New Roman" w:hAnsi="Times New Roman"/>
          <w:sz w:val="21"/>
          <w:szCs w:val="21"/>
          <w:u w:val="single" w:color="auto"/>
          <w:color w:val="auto"/>
        </w:rPr>
        <w:t>Section 9(i)</w:t>
      </w:r>
      <w:r>
        <w:rPr>
          <w:rFonts w:ascii="Times New Roman" w:cs="Times New Roman" w:eastAsia="Times New Roman" w:hAnsi="Times New Roman"/>
          <w:sz w:val="21"/>
          <w:szCs w:val="21"/>
          <w:color w:val="auto"/>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Certificate of Designations, and any amendment or waiver of any of the provisions of </w:t>
      </w:r>
      <w:r>
        <w:rPr>
          <w:rFonts w:ascii="Times New Roman" w:cs="Times New Roman" w:eastAsia="Times New Roman" w:hAnsi="Times New Roman"/>
          <w:sz w:val="22"/>
          <w:szCs w:val="22"/>
          <w:u w:val="single" w:color="auto"/>
          <w:color w:val="auto"/>
        </w:rPr>
        <w:t>Section 9(i)</w:t>
      </w:r>
      <w:r>
        <w:rPr>
          <w:rFonts w:ascii="Times New Roman" w:cs="Times New Roman" w:eastAsia="Times New Roman" w:hAnsi="Times New Roman"/>
          <w:sz w:val="22"/>
          <w:szCs w:val="22"/>
          <w:color w:val="auto"/>
        </w:rPr>
        <w:t xml:space="preserve"> approved by such percentage of the Holders shall be binding on all of the Holders.</w:t>
      </w:r>
    </w:p>
    <w:p>
      <w:pPr>
        <w:spacing w:after="0" w:line="158" w:lineRule="exact"/>
        <w:rPr>
          <w:sz w:val="20"/>
          <w:szCs w:val="20"/>
          <w:color w:val="auto"/>
        </w:rPr>
      </w:pPr>
    </w:p>
    <w:p>
      <w:pPr>
        <w:jc w:val="both"/>
        <w:ind w:firstLine="1304"/>
        <w:spacing w:after="0" w:line="268" w:lineRule="auto"/>
        <w:tabs>
          <w:tab w:leader="none" w:pos="194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and notwithstanding anything to the contrary in the Certificate of Incorporation or Bylaws of the Company, the Holders of Series C Preferred Stock shall have the exclusive consent and voting rights set forth in </w:t>
      </w:r>
      <w:r>
        <w:rPr>
          <w:rFonts w:ascii="Times New Roman" w:cs="Times New Roman" w:eastAsia="Times New Roman" w:hAnsi="Times New Roman"/>
          <w:sz w:val="21"/>
          <w:szCs w:val="21"/>
          <w:u w:val="single" w:color="auto"/>
          <w:color w:val="auto"/>
        </w:rPr>
        <w:t>Section 12(b)</w:t>
      </w:r>
      <w:r>
        <w:rPr>
          <w:rFonts w:ascii="Times New Roman" w:cs="Times New Roman" w:eastAsia="Times New Roman" w:hAnsi="Times New Roman"/>
          <w:sz w:val="21"/>
          <w:szCs w:val="21"/>
          <w:color w:val="auto"/>
        </w:rPr>
        <w:t xml:space="preserve"> and may take action or consent to any action with respect to such rights without a meeting by delivering a consent in writing or by electronic transmission of the Holders of the Series C Preferred Stock entitled to cast not less than the minimum number of votes that would be necessary to authorize, take or consent to such action at a meeting of stockholders.</w:t>
      </w:r>
    </w:p>
    <w:p>
      <w:pPr>
        <w:spacing w:after="0" w:line="163"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acquisition of shares of Series C Preferred Stock, the Holder of such shares shall be deemed to irrevocably appoint as its proxy and attorney-in-fact, the Chief Executive Officer, the Chief Financial Officer and the General Counsel of the Company, each of them individually, with full power of substitution and resubstitution, to consent to or vote any shares of Series C Preferred Stock held by them in excess of the Voting Threshold as indicated in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 xml:space="preserve"> above with respect to any matters that must be voted in a Neutral Manner.</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b w:val="1"/>
          <w:bCs w:val="1"/>
          <w:u w:val="single" w:color="auto"/>
          <w:color w:val="auto"/>
        </w:rPr>
        <w:t>Term</w:t>
      </w:r>
      <w:r>
        <w:rPr>
          <w:rFonts w:ascii="Times New Roman" w:cs="Times New Roman" w:eastAsia="Times New Roman" w:hAnsi="Times New Roman"/>
          <w:sz w:val="22"/>
          <w:szCs w:val="22"/>
          <w:color w:val="auto"/>
        </w:rPr>
        <w:t>. Except as expressly provided in this Certificate of Designations, the shares of Series C Preferred Stock shall not be redeemable or otherwise mature and the term of the Series C Preferred Stock shall be perpetual.</w:t>
      </w:r>
    </w:p>
    <w:p>
      <w:pPr>
        <w:spacing w:after="0" w:line="16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b w:val="1"/>
          <w:bCs w:val="1"/>
          <w:u w:val="single" w:color="auto"/>
          <w:color w:val="auto"/>
        </w:rPr>
        <w:t>Creation of Capital Stock</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12(b)</w:t>
      </w:r>
      <w:r>
        <w:rPr>
          <w:rFonts w:ascii="Times New Roman" w:cs="Times New Roman" w:eastAsia="Times New Roman" w:hAnsi="Times New Roman"/>
          <w:sz w:val="22"/>
          <w:szCs w:val="22"/>
          <w:color w:val="auto"/>
        </w:rPr>
        <w:t>, the Board, or any duly authorized committee thereof, without the vote of the Holders, may authorize and issue additional shares of Capital Stock of the Company.</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b w:val="1"/>
          <w:bCs w:val="1"/>
          <w:u w:val="single" w:color="auto"/>
          <w:color w:val="auto"/>
        </w:rPr>
        <w:t>No Sinking Fund</w:t>
      </w:r>
      <w:r>
        <w:rPr>
          <w:rFonts w:ascii="Times New Roman" w:cs="Times New Roman" w:eastAsia="Times New Roman" w:hAnsi="Times New Roman"/>
          <w:sz w:val="22"/>
          <w:szCs w:val="22"/>
          <w:color w:val="auto"/>
        </w:rPr>
        <w:t>. Shares of Series C Preferred Stock shall not be subject to or entitled to the operation of a retirement or sinking fund.</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b w:val="1"/>
          <w:bCs w:val="1"/>
          <w:u w:val="single" w:color="auto"/>
          <w:color w:val="auto"/>
        </w:rPr>
        <w:t>Transfer Agent, Conversion Agent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Registrar and Paying Agent</w:t>
      </w:r>
      <w:r>
        <w:rPr>
          <w:rFonts w:ascii="Times New Roman" w:cs="Times New Roman" w:eastAsia="Times New Roman" w:hAnsi="Times New Roman"/>
          <w:sz w:val="22"/>
          <w:szCs w:val="22"/>
          <w:color w:val="auto"/>
        </w:rPr>
        <w:t>. The duly appointed Transfer Agent, Conversion Agent, Registrar and paying agent for the Series C Preferred Stock shall be Equiniti Trust Company, LLC. The Company may, in its sole discretion, appoint any other Person to serve as Transfer Agent, Conversion Agent, Registrar or paying agent for the Series C Preferred Stock and thereafter may remove or replace such other Person at any time. Upon any such appointment or removal, the Company shall send notice thereof to the Holders.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b w:val="1"/>
          <w:bCs w:val="1"/>
          <w:u w:val="single" w:color="auto"/>
          <w:color w:val="auto"/>
        </w:rPr>
        <w:t>Replacement Certificates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firstLine="1304"/>
        <w:spacing w:after="0" w:line="252"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Mutilated, Destroyed, Stolen and Lost Certificates</w:t>
      </w:r>
      <w:r>
        <w:rPr>
          <w:rFonts w:ascii="Times New Roman" w:cs="Times New Roman" w:eastAsia="Times New Roman" w:hAnsi="Times New Roman"/>
          <w:sz w:val="22"/>
          <w:szCs w:val="22"/>
          <w:color w:val="auto"/>
        </w:rPr>
        <w:t>. If physical certificates evidencing the Series C Preferred Stock are issued, the Company shall replace any mutilated certificate at the Holder’s expense upon surrender of that certificate to the Transfer Agent. The Company shall replace certificates that become destroyed, stolen or lost at the Holder’s expense upon delivery to the Company and the Transfer Agent of satisfactory evidence that the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 been destroyed, stolen or lost, together with any indemnity that may be required by the Transfer Agent and the Company.</w:t>
      </w:r>
    </w:p>
    <w:p>
      <w:pPr>
        <w:spacing w:after="0" w:line="220" w:lineRule="exact"/>
        <w:rPr>
          <w:sz w:val="20"/>
          <w:szCs w:val="20"/>
          <w:color w:val="auto"/>
        </w:rPr>
      </w:pPr>
    </w:p>
    <w:p>
      <w:pPr>
        <w:jc w:val="both"/>
        <w:ind w:firstLine="1304"/>
        <w:spacing w:after="0" w:line="250"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Following Conversion</w:t>
      </w:r>
      <w:r>
        <w:rPr>
          <w:rFonts w:ascii="Times New Roman" w:cs="Times New Roman" w:eastAsia="Times New Roman" w:hAnsi="Times New Roman"/>
          <w:sz w:val="22"/>
          <w:szCs w:val="22"/>
          <w:color w:val="auto"/>
        </w:rPr>
        <w:t xml:space="preserve">. If physical certificates representing the Series C Preferred Stock are issued, the Company shall not be required to issue replacement certificates representing shares of Series C Preferred Stock on or after the Conversion Date applicable to such shares (except if any certificate for shares of Series C Preferred Stock shall be surrendered for partial conversion, the Company shall, at its expense, execute and deliver to or upon the written order of the Holder of the certificate so surrendered a new certificate for the shares of Series C Preferred Stock not converted). In place of the delivery of a replacement certificate following the applicable Conversion Date, the Transfer Agent, upon receipt of the satisfactory evidence and indemnity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shall deliver the shares of Common Stock issuable upon conversion of such shares of Series C Preferred Stock formerly evidenced by the physical certificate.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47" w:lineRule="auto"/>
        <w:tabs>
          <w:tab w:leader="none" w:pos="194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agrees that, provided that a Holder delivers to the Company a properly executed Internal Revenue Service (“</w:t>
      </w:r>
      <w:r>
        <w:rPr>
          <w:rFonts w:ascii="Times New Roman" w:cs="Times New Roman" w:eastAsia="Times New Roman" w:hAnsi="Times New Roman"/>
          <w:sz w:val="22"/>
          <w:szCs w:val="22"/>
          <w:b w:val="1"/>
          <w:bCs w:val="1"/>
          <w:u w:val="single" w:color="auto"/>
          <w:color w:val="auto"/>
        </w:rPr>
        <w:t>IRS</w:t>
      </w:r>
      <w:r>
        <w:rPr>
          <w:rFonts w:ascii="Times New Roman" w:cs="Times New Roman" w:eastAsia="Times New Roman" w:hAnsi="Times New Roman"/>
          <w:sz w:val="22"/>
          <w:szCs w:val="22"/>
          <w:color w:val="auto"/>
        </w:rPr>
        <w:t xml:space="preserve">”) Form W-9 certifying as to the complete exemption from backup withholding of the Holder (or, if the Holder is a disregarded entity for U.S. federal income tax purposes, its regarded owner), under current law the Company (including any paying agent of the Company) shall not be required to, and shall not, deduct or withhold taxes on any payments or deemed payments to any such Holder. In the event that any such Holder fails to deliver to the Company such properly executed IRS Form W-9, the Company reasonably believes that a previously delivered IRS Form W-9 is no longer accurate and/or valid, or there is a change in law that affects the withholding obligations of the Company, the Company and its paying agent shall be entitled to deduct or withhold on all applicable payments or deemed payments made to the relevant Holder and shall be entitled to set off with respect to any future distributions, such tax amounts as the Company reasonably determines are required to be deducted or withheld therefrom under any provision of applicable law (and, to the extent such amounts are paid to the relevant taxing authority in accordance with applicable law, such amounts will be treated for all purposes of this Certificate of Designations as having been paid to the Person in respect of which such withholding was made);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the Company determines that an amount is required to be deducted or withheld on any payment or deemed payment with respect to any Holder, the Company shall provide reasonable prior notice to such Holder in writing of its intent to deduct or withhold taxes on such payment and will reasonably cooperate with such Holder in obtaining any available exemption or reduction of such withholding.</w:t>
      </w:r>
    </w:p>
    <w:p>
      <w:pPr>
        <w:spacing w:after="0" w:line="194" w:lineRule="exact"/>
        <w:rPr>
          <w:rFonts w:ascii="Times New Roman" w:cs="Times New Roman" w:eastAsia="Times New Roman" w:hAnsi="Times New Roman"/>
          <w:sz w:val="22"/>
          <w:szCs w:val="22"/>
          <w:color w:val="auto"/>
        </w:rPr>
      </w:pPr>
    </w:p>
    <w:p>
      <w:pPr>
        <w:jc w:val="both"/>
        <w:ind w:right="20" w:firstLine="1304"/>
        <w:spacing w:after="0" w:line="252" w:lineRule="auto"/>
        <w:tabs>
          <w:tab w:leader="none" w:pos="193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The Company shall pay any and all stock transfer, documentary, stamp and similar taxes due upon the issuance of shares of Series C Preferred Stock or the issuance of shares of Common Stock pursuant hereto. However, in the case of conversion of Series C Preferred Stock, the Company shall not be required to pay any such tax that may be payable in respect of any transfer involved in the issuance or delivery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Series C Preferred Stock or Common Stock to a beneficial owner other than the initial beneficial owner of Series C Preferred Stock, and shall not be required to make any such issuance, delivery or payment unless and until the Person requesting such issuance, delivery or payment has paid to the Company the amount of any such tax or has established, to the satisfaction of the Company, that such tax has been paid or is not payable.</w:t>
      </w:r>
    </w:p>
    <w:p>
      <w:pPr>
        <w:spacing w:after="0" w:line="176" w:lineRule="exact"/>
        <w:rPr>
          <w:sz w:val="20"/>
          <w:szCs w:val="20"/>
          <w:color w:val="auto"/>
        </w:rPr>
      </w:pPr>
    </w:p>
    <w:p>
      <w:pPr>
        <w:jc w:val="both"/>
        <w:ind w:firstLine="1304"/>
        <w:spacing w:after="0" w:line="247"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Treatment</w:t>
      </w:r>
      <w:r>
        <w:rPr>
          <w:rFonts w:ascii="Times New Roman" w:cs="Times New Roman" w:eastAsia="Times New Roman" w:hAnsi="Times New Roman"/>
          <w:sz w:val="22"/>
          <w:szCs w:val="22"/>
          <w:color w:val="auto"/>
        </w:rPr>
        <w:t>. It is intended that, as of the date of the Certificate of Amendment, (i) the Series C Preferred Stock shall not be treated as “preferred stock” for purposes of Section 305 of the Code and the Treasury Regulations promulgated thereunder, and (ii) as a consequence, any difference between the purchase price paid for the Series C Preferred Stock and the Liquidation Preference thereof will, by reason of Section 305(b)(4) of the Code or Treasury Regulations Section 1.305-5, not be treated as a distribution of property until paid in cash. The Company and Holders (and their respective affiliates) shall file all tax returns in a manner consistent with the foregoing intended tax treatment and shall not take any tax position that is inconsistent with such intended tax treatment except in connection with, or as required by, any of the following: (v) a change in applicable facts and circumstances as to whether the Series C Preferred Stock has a “real and meaningful probability” of participating in the earnings and growth of the Company at the time of distribution, as determined by the Company pursuant to Treasury Regulations section 1.305-5(a), (w) a change in relevant law occurring after the Original Issuance Date, (x) after the Original Issuance Date, the promulgation of relevant final U.S. Treasury Regulations addressing instruments similar to the Series C Preferred Stock (from and after the effective date of such regulations), (y) an amendment to the terms of this Certificate of Designations or (z) a “determination” within the meaning of section 1313(a) of the Code.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referred to herein shall be in writing and, unless otherwise specified herein, all notices hereunder shall be deemed to have been given upon (i) acknowledgement of receipt, if sent via e-mail or (ii) the earlier of receipt thereof or three (3) Business Days after the mailing thereof if sent by registered or certified mail with postage prepaid, or by private courier service, in each case, addressed: (i) if to the Company, to its office at comScore, Inc., 11950 Democracy Drive, Suite 600, Reston, Virginia 20190 (Attention: Ashley Wright), Email: awright@comscore.com, (ii) if to any Holder, to such Holder at the address of such Holder as listed in the stock record books of the Company (which may include the records of the Transfer Agent) or (iii) to such other address as the Company or any such Holder, as the case may be, shall have designated by notice similarly given.</w:t>
      </w:r>
    </w:p>
    <w:p>
      <w:pPr>
        <w:spacing w:after="0" w:line="17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b w:val="1"/>
          <w:bCs w:val="1"/>
          <w:u w:val="single" w:color="auto"/>
          <w:color w:val="auto"/>
        </w:rPr>
        <w:t>Facts Ascertainable</w:t>
      </w:r>
      <w:r>
        <w:rPr>
          <w:rFonts w:ascii="Times New Roman" w:cs="Times New Roman" w:eastAsia="Times New Roman" w:hAnsi="Times New Roman"/>
          <w:sz w:val="22"/>
          <w:szCs w:val="22"/>
          <w:color w:val="auto"/>
        </w:rPr>
        <w:t>. When the terms of this Certificate of Designations refer to a specific agreement or other document to determine the meaning or operation of a provision hereof, the Secretary of the Company shall maintain a copy of such agreement or document at the principal executive offices of the Company and a copy thereof shall be provided free of charge to any Holder who makes a request therefor. The Secretary of the Company shall also maintain a written record of the Issuance Date, the number of shares of Series C Preferred Stock issued to a Holder and the date of each such issuance, and shall furnish such written record free of charge to any Holder who makes a request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color w:val="auto"/>
        </w:rPr>
        <w:t>. Notwithstanding any provision in this Certificate of Designations to the contrary, any provision contained herein and any right of the Holders of shares of Series C Preferred Stock granted hereunder may be waived as to all shares of Series C Preferred Stock (and the Holders thereof) upon the vote or written consent of the Holders of a majority of the shares of Series C Preferred Stock then outstanding.</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any term of the Series C Preferred Stock set forth herein is invalid, unlawful or incapable of being enforced by reason of any rule of law or public policy, all other terms set forth herein which can be given effect without the invalid, unlawful or unenforceable term will, nevertheless, remain in full force and effect, and no term herein set forth will be deemed dependent upon any other such term unless so expressed herein.</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23. </w:t>
      </w:r>
      <w:r>
        <w:rPr>
          <w:rFonts w:ascii="Times New Roman" w:cs="Times New Roman" w:eastAsia="Times New Roman" w:hAnsi="Times New Roman"/>
          <w:sz w:val="21"/>
          <w:szCs w:val="21"/>
          <w:b w:val="1"/>
          <w:bCs w:val="1"/>
          <w:u w:val="single" w:color="auto"/>
          <w:color w:val="auto"/>
        </w:rPr>
        <w:t>Business Opportunities</w:t>
      </w:r>
      <w:r>
        <w:rPr>
          <w:rFonts w:ascii="Times New Roman" w:cs="Times New Roman" w:eastAsia="Times New Roman" w:hAnsi="Times New Roman"/>
          <w:sz w:val="21"/>
          <w:szCs w:val="21"/>
          <w:color w:val="auto"/>
        </w:rPr>
        <w:t xml:space="preserve">. To the fullest extent permitted by Section 122(17) of the DGCL (or any successor provision) and except as may be otherwise expressly agreed in writing by the Company and the Investor Parties, the Company, on behalf of itself and its Subsidiaries, renounces any interest or expectancy of the Company and its Subsidiaries in, or in being offered an opportunity to participate in, business opportunities, that are from time to time presented to the Investor Parties or any of their respective officers, representatives, directors, agents, stockholders, members, partners, Affiliates, Subsidiaries (other than the Company and its Subsidiaries), or any of their respective designees on the Company’s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such business opportunity is disclosed to the applicable director or officer in his or her capacity as such.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Neither the alteration, amendment or repeal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nor the adoption of any provision of the Certificate of Incorporation or this Certificate of Designations inconsistent with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(including, without limitation, each portion of any paragraph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each such portion of any paragraph of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17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b w:val="1"/>
          <w:bCs w:val="1"/>
          <w:u w:val="single" w:color="auto"/>
          <w:color w:val="auto"/>
        </w:rPr>
        <w:t>Rule 144A Information</w:t>
      </w:r>
      <w:r>
        <w:rPr>
          <w:rFonts w:ascii="Times New Roman" w:cs="Times New Roman" w:eastAsia="Times New Roman" w:hAnsi="Times New Roman"/>
          <w:sz w:val="22"/>
          <w:szCs w:val="22"/>
          <w:color w:val="auto"/>
        </w:rPr>
        <w:t>. The Company will, during any period in which the Company is not subject to Section 13 or 15(d) of the Exchange Act, furnish to Holders and prospective investors, upon request, the information required to be delivered pursuant to Rule 144A(d)(4) under the Securities Act of 1933, as amended.</w:t>
      </w:r>
    </w:p>
    <w:p>
      <w:pPr>
        <w:spacing w:after="0" w:line="16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b w:val="1"/>
          <w:bCs w:val="1"/>
          <w:u w:val="single" w:color="auto"/>
          <w:color w:val="auto"/>
        </w:rPr>
        <w:t>Antitrust Filing</w:t>
      </w:r>
      <w:r>
        <w:rPr>
          <w:rFonts w:ascii="Times New Roman" w:cs="Times New Roman" w:eastAsia="Times New Roman" w:hAnsi="Times New Roman"/>
          <w:sz w:val="22"/>
          <w:szCs w:val="22"/>
          <w:color w:val="auto"/>
        </w:rPr>
        <w:t>. If, in connection with the exercise of the rights of any Holder or the Company pursuant to, or the applicability of any terms of, this Certificate of Designations or the Stockholders Agreement, a filing is required pursuant to any applicable Antitrust Laws, then the Company, on the one hand, and the applicable Holder, on the other hand, shall, at the request of the Holder, (a) as promptly as practicable, make, or cause or be made, all filings and submissions required under applicable Antitrust Laws, and (b) use their commercially reasonable efforts to obtain, or cause to be obtained, approval of the transaction associated with the filing or the termination or expiration of the applicable waiting period (“</w:t>
      </w:r>
      <w:r>
        <w:rPr>
          <w:rFonts w:ascii="Times New Roman" w:cs="Times New Roman" w:eastAsia="Times New Roman" w:hAnsi="Times New Roman"/>
          <w:sz w:val="22"/>
          <w:szCs w:val="22"/>
          <w:b w:val="1"/>
          <w:bCs w:val="1"/>
          <w:u w:val="single" w:color="auto"/>
          <w:color w:val="auto"/>
        </w:rPr>
        <w:t>Antitrust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Approval</w:t>
      </w:r>
      <w:r>
        <w:rPr>
          <w:rFonts w:ascii="Times New Roman" w:cs="Times New Roman" w:eastAsia="Times New Roman" w:hAnsi="Times New Roman"/>
          <w:sz w:val="22"/>
          <w:szCs w:val="22"/>
          <w:color w:val="auto"/>
        </w:rPr>
        <w:t>”), and notwithstanding anything to the contrary in this Certificate of Designations or the Stockholders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rights so exercised (or other action taken by the application of the terms thereof) shall be contingent upon, and subject to, the receipt of any required Antitrust Approval (as determined by the Holder) and such rights (or other action taken by the application of the terms thereof) shall be delayed until such Antitrust Approval is received;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with respect to any such filing resulting from the exercise of a Holder’s rights under this Certificate of Designations or the Stockholders Agreement, any filing or submission fees required under applicable Antitrust Laws shall be paid by such Holder and (ii) with respect to any such filing resulting from the exercise of the Company’s rights under this Certificate of Designations or the Stockholders Agreement (or other action taken by the application of the terms thereof), any filing or submission fees required under applicable Antitrust Laws shall be paid by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9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IN WITNESS WHEREOF, the Company has caused this Certificate of Designations to be executed this 29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December 2025.</w:t>
      </w:r>
    </w:p>
    <w:p>
      <w:pPr>
        <w:spacing w:after="0" w:line="1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COMSCORE, INC.</w:t>
      </w:r>
    </w:p>
    <w:p>
      <w:pPr>
        <w:spacing w:after="0" w:line="200" w:lineRule="exact"/>
        <w:rPr>
          <w:sz w:val="20"/>
          <w:szCs w:val="20"/>
          <w:color w:val="auto"/>
        </w:rPr>
      </w:pPr>
    </w:p>
    <w:p>
      <w:pPr>
        <w:spacing w:after="0" w:line="21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4865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Mary Margaret Curry</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Certificate of Designations</w:t>
      </w:r>
      <w:r>
        <w:rPr>
          <w:rFonts w:ascii="Times New Roman" w:cs="Times New Roman" w:eastAsia="Times New Roman" w:hAnsi="Times New Roman"/>
          <w:sz w:val="22"/>
          <w:szCs w:val="22"/>
          <w:color w:val="auto"/>
        </w:rPr>
        <w:t>]</w:t>
      </w:r>
    </w:p>
    <w:p>
      <w:pPr>
        <w:sectPr>
          <w:pgSz w:w="11900" w:h="16838" w:orient="portrait"/>
          <w:cols w:equalWidth="0" w:num="1">
            <w:col w:w="10600"/>
          </w:cols>
          <w:pgMar w:left="320" w:top="1440" w:right="979" w:bottom="1440" w:gutter="0" w:footer="0" w:header="0"/>
        </w:sectPr>
      </w:pPr>
    </w:p>
    <w:bookmarkStart w:id="47" w:name="page48"/>
    <w:bookmarkEnd w:id="47"/>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ind w:left="4440"/>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Reference is made to the Certificate of Designations of Series C Convertible Preferred Stock, par value $0.001, of comScore, Inc. (the “</w:t>
      </w:r>
      <w:r>
        <w:rPr>
          <w:rFonts w:ascii="Times New Roman" w:cs="Times New Roman" w:eastAsia="Times New Roman" w:hAnsi="Times New Roman"/>
          <w:sz w:val="22"/>
          <w:szCs w:val="22"/>
          <w:b w:val="1"/>
          <w:bCs w:val="1"/>
          <w:u w:val="single" w:color="auto"/>
          <w:color w:val="auto"/>
        </w:rPr>
        <w:t>Certificate of Designations</w:t>
      </w:r>
      <w:r>
        <w:rPr>
          <w:rFonts w:ascii="Times New Roman" w:cs="Times New Roman" w:eastAsia="Times New Roman" w:hAnsi="Times New Roman"/>
          <w:sz w:val="22"/>
          <w:szCs w:val="22"/>
          <w:color w:val="auto"/>
        </w:rPr>
        <w:t>”). In accordance with and pursuant to the Certificate of Designations, the undersigned hereby elects to convert the number of shares of Series C Convertible Preferred Stock, par value $0.001 per share (the “</w:t>
      </w:r>
      <w:r>
        <w:rPr>
          <w:rFonts w:ascii="Times New Roman" w:cs="Times New Roman" w:eastAsia="Times New Roman" w:hAnsi="Times New Roman"/>
          <w:sz w:val="22"/>
          <w:szCs w:val="22"/>
          <w:b w:val="1"/>
          <w:bCs w:val="1"/>
          <w:u w:val="single" w:color="auto"/>
          <w:color w:val="auto"/>
        </w:rPr>
        <w:t>Series C Preferred Stock</w:t>
      </w:r>
      <w:r>
        <w:rPr>
          <w:rFonts w:ascii="Times New Roman" w:cs="Times New Roman" w:eastAsia="Times New Roman" w:hAnsi="Times New Roman"/>
          <w:sz w:val="22"/>
          <w:szCs w:val="22"/>
          <w:color w:val="auto"/>
        </w:rPr>
        <w:t>”), of comScore, Inc., a Delaware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indicated below into shares of Common Stock, par value $0.001 per share (the “</w:t>
      </w:r>
      <w:r>
        <w:rPr>
          <w:rFonts w:ascii="Times New Roman" w:cs="Times New Roman" w:eastAsia="Times New Roman" w:hAnsi="Times New Roman"/>
          <w:sz w:val="22"/>
          <w:szCs w:val="22"/>
          <w:b w:val="1"/>
          <w:bCs w:val="1"/>
          <w:u w:val="single" w:color="auto"/>
          <w:color w:val="auto"/>
        </w:rPr>
        <w:t>Common Stock</w:t>
      </w:r>
      <w:r>
        <w:rPr>
          <w:rFonts w:ascii="Times New Roman" w:cs="Times New Roman" w:eastAsia="Times New Roman" w:hAnsi="Times New Roman"/>
          <w:sz w:val="22"/>
          <w:szCs w:val="22"/>
          <w:color w:val="auto"/>
        </w:rPr>
        <w:t>”), of the Company, [as of the date specified below // upon // immediately prior to[, and subject to the occurrence of,] [●]].</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Conversion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-13970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-13970</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 certificate no(s).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-13970</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-13970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confirm the following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-13970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-13970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Please issue the shares of Common Stock into which the shares of Series C Preferred Stock are being converted in the following name and to the following address: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-13970</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-13970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-13970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805180</wp:posOffset>
            </wp:positionH>
            <wp:positionV relativeFrom="paragraph">
              <wp:posOffset>-13970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-13970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-13970</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-13970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-13970</wp:posOffset>
            </wp:positionV>
            <wp:extent cx="137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Instructions for cash payment in lieu of fractional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u w:val="single" w:color="auto"/>
          <w:color w:val="auto"/>
        </w:rPr>
        <w:t>Exhibit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to Certificate of Designations</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440" w:right="339" w:bottom="1440" w:gutter="0" w:footer="0" w:header="0"/>
          <w:type w:val="continuous"/>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SECOND AMENDED AND RESTATED STOCKHOLDERS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Second Amended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and Restated Stockholders Agreement</w:t>
      </w:r>
      <w:r>
        <w:rPr>
          <w:rFonts w:ascii="Times New Roman" w:cs="Times New Roman" w:eastAsia="Times New Roman" w:hAnsi="Times New Roman"/>
          <w:sz w:val="20"/>
          <w:szCs w:val="20"/>
          <w:color w:val="auto"/>
        </w:rPr>
        <w:t>”), dated as of December 29, 2025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is entered into by and among comScore,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Charter Communications Holding Company, LLC, a Delaware limited liability company (the “</w:t>
      </w:r>
      <w:r>
        <w:rPr>
          <w:rFonts w:ascii="Times New Roman" w:cs="Times New Roman" w:eastAsia="Times New Roman" w:hAnsi="Times New Roman"/>
          <w:sz w:val="20"/>
          <w:szCs w:val="20"/>
          <w:b w:val="1"/>
          <w:bCs w:val="1"/>
          <w:color w:val="auto"/>
        </w:rPr>
        <w:t>Charter Stockholder</w:t>
      </w:r>
      <w:r>
        <w:rPr>
          <w:rFonts w:ascii="Times New Roman" w:cs="Times New Roman" w:eastAsia="Times New Roman" w:hAnsi="Times New Roman"/>
          <w:sz w:val="20"/>
          <w:szCs w:val="20"/>
          <w:color w:val="auto"/>
        </w:rPr>
        <w:t>”), Liberty Broadband Corporation, a Delaware corporation (the “</w:t>
      </w:r>
      <w:r>
        <w:rPr>
          <w:rFonts w:ascii="Times New Roman" w:cs="Times New Roman" w:eastAsia="Times New Roman" w:hAnsi="Times New Roman"/>
          <w:sz w:val="20"/>
          <w:szCs w:val="20"/>
          <w:b w:val="1"/>
          <w:bCs w:val="1"/>
          <w:color w:val="auto"/>
        </w:rPr>
        <w:t>Liberty Broadband Stockholder</w:t>
      </w:r>
      <w:r>
        <w:rPr>
          <w:rFonts w:ascii="Times New Roman" w:cs="Times New Roman" w:eastAsia="Times New Roman" w:hAnsi="Times New Roman"/>
          <w:sz w:val="20"/>
          <w:szCs w:val="20"/>
          <w:color w:val="auto"/>
        </w:rPr>
        <w:t>”), and Pine Investor, LLC, a Delaware limited liability company (the “</w:t>
      </w:r>
      <w:r>
        <w:rPr>
          <w:rFonts w:ascii="Times New Roman" w:cs="Times New Roman" w:eastAsia="Times New Roman" w:hAnsi="Times New Roman"/>
          <w:sz w:val="20"/>
          <w:szCs w:val="20"/>
          <w:b w:val="1"/>
          <w:bCs w:val="1"/>
          <w:color w:val="auto"/>
        </w:rPr>
        <w:t>Cerberus Stockholder</w:t>
      </w:r>
      <w:r>
        <w:rPr>
          <w:rFonts w:ascii="Times New Roman" w:cs="Times New Roman" w:eastAsia="Times New Roman" w:hAnsi="Times New Roman"/>
          <w:sz w:val="20"/>
          <w:szCs w:val="20"/>
          <w:color w:val="auto"/>
        </w:rPr>
        <w:t>,” and together with the Charter Stockholder and the Liberty Broadband Stockholder, the “</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 January 7, 2021, (a) the Company and the Charter Stockholder entered into that certain Series B Convertible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Preferred Stock Purchase Agreement (the “</w:t>
      </w:r>
      <w:r>
        <w:rPr>
          <w:rFonts w:ascii="Times New Roman" w:cs="Times New Roman" w:eastAsia="Times New Roman" w:hAnsi="Times New Roman"/>
          <w:sz w:val="19"/>
          <w:szCs w:val="19"/>
          <w:b w:val="1"/>
          <w:bCs w:val="1"/>
          <w:color w:val="auto"/>
        </w:rPr>
        <w:t>Charter Purchase Agreement</w:t>
      </w:r>
      <w:r>
        <w:rPr>
          <w:rFonts w:ascii="Times New Roman" w:cs="Times New Roman" w:eastAsia="Times New Roman" w:hAnsi="Times New Roman"/>
          <w:sz w:val="19"/>
          <w:szCs w:val="19"/>
          <w:color w:val="auto"/>
        </w:rPr>
        <w:t>”), (b) the Company and Qurate Retail, Inc., a Delaware corporation (together with its affiliates, “</w:t>
      </w:r>
      <w:r>
        <w:rPr>
          <w:rFonts w:ascii="Times New Roman" w:cs="Times New Roman" w:eastAsia="Times New Roman" w:hAnsi="Times New Roman"/>
          <w:sz w:val="19"/>
          <w:szCs w:val="19"/>
          <w:b w:val="1"/>
          <w:bCs w:val="1"/>
          <w:color w:val="auto"/>
        </w:rPr>
        <w:t>Qurate Stockholder</w:t>
      </w:r>
      <w:r>
        <w:rPr>
          <w:rFonts w:ascii="Times New Roman" w:cs="Times New Roman" w:eastAsia="Times New Roman" w:hAnsi="Times New Roman"/>
          <w:sz w:val="19"/>
          <w:szCs w:val="19"/>
          <w:color w:val="auto"/>
        </w:rPr>
        <w:t>”) entered into that certain Series B Convertible Preferred Stock Purchase Agreement, and on May 16, 2023, the Qurate Stockholder subsequently transferred its shares of Series B Convertible Preferred Stock (as defined below) to Liberty Broadband (collectively, the “</w:t>
      </w:r>
      <w:r>
        <w:rPr>
          <w:rFonts w:ascii="Times New Roman" w:cs="Times New Roman" w:eastAsia="Times New Roman" w:hAnsi="Times New Roman"/>
          <w:sz w:val="19"/>
          <w:szCs w:val="19"/>
          <w:b w:val="1"/>
          <w:bCs w:val="1"/>
          <w:color w:val="auto"/>
        </w:rPr>
        <w:t>Liberty Broadband Purchase Agreement</w:t>
      </w:r>
      <w:r>
        <w:rPr>
          <w:rFonts w:ascii="Times New Roman" w:cs="Times New Roman" w:eastAsia="Times New Roman" w:hAnsi="Times New Roman"/>
          <w:sz w:val="19"/>
          <w:szCs w:val="19"/>
          <w:color w:val="auto"/>
        </w:rPr>
        <w:t>”), and (c) the Company and the Cerberus Stockholder entered into that certain Series B Convertible Preferred Stock Purchase Agreement (together with the Charter Purchase Agreement and the Liberty Broadband Purchase Agreement, the “</w:t>
      </w:r>
      <w:r>
        <w:rPr>
          <w:rFonts w:ascii="Times New Roman" w:cs="Times New Roman" w:eastAsia="Times New Roman" w:hAnsi="Times New Roman"/>
          <w:sz w:val="19"/>
          <w:szCs w:val="19"/>
          <w:b w:val="1"/>
          <w:bCs w:val="1"/>
          <w:color w:val="auto"/>
        </w:rPr>
        <w:t>Purchase Agreements</w:t>
      </w:r>
      <w:r>
        <w:rPr>
          <w:rFonts w:ascii="Times New Roman" w:cs="Times New Roman" w:eastAsia="Times New Roman" w:hAnsi="Times New Roman"/>
          <w:sz w:val="19"/>
          <w:szCs w:val="19"/>
          <w:color w:val="auto"/>
        </w:rPr>
        <w:t>”), in each case, relating to the issuance and sale of shares of Series B Convertible Preferred Stock, par value $0.001 per share, of the Company (the “</w:t>
      </w:r>
      <w:r>
        <w:rPr>
          <w:rFonts w:ascii="Times New Roman" w:cs="Times New Roman" w:eastAsia="Times New Roman" w:hAnsi="Times New Roman"/>
          <w:sz w:val="19"/>
          <w:szCs w:val="19"/>
          <w:b w:val="1"/>
          <w:bCs w:val="1"/>
          <w:color w:val="auto"/>
        </w:rPr>
        <w:t>Series B Convertible Preferred Stock</w:t>
      </w:r>
      <w:r>
        <w:rPr>
          <w:rFonts w:ascii="Times New Roman" w:cs="Times New Roman" w:eastAsia="Times New Roman" w:hAnsi="Times New Roman"/>
          <w:sz w:val="19"/>
          <w:szCs w:val="19"/>
          <w:color w:val="auto"/>
        </w:rPr>
        <w:t>”);</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March 10, 2021, pursuant to the Purchase Agreements, the Company issued shares of Series B Convertible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Preferred Stock to the Charter Stockholder, Cerberus Stockholder and Qurate Stockholder, and the Charter Stockholder, Cerberus Stockholder and Qurate Stockholder entered into that certain Stockholders Agreement to set forth certain understandings among such parties, including with respect to certain matters related to their ownership of Series B Convertible Preferred Stock (the “</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July 24, 2024, the Company and each of the Stockholders entered into a Subscription Agreement (collectively,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Agreements</w:t>
      </w:r>
      <w:r>
        <w:rPr>
          <w:rFonts w:ascii="Times New Roman" w:cs="Times New Roman" w:eastAsia="Times New Roman" w:hAnsi="Times New Roman"/>
          <w:sz w:val="20"/>
          <w:szCs w:val="20"/>
          <w:color w:val="auto"/>
        </w:rPr>
        <w:t>”), relating to the issuance and sale of additional shares of Series B Convertible Preferred Stock on the terms and subject to the conditions set forth in the Subscription Agreements, and on the same date, the Company and each of the Stockholders entered into an Amended and Restated Stockholders Agreement in connection with such issuances (the “</w:t>
      </w:r>
      <w:r>
        <w:rPr>
          <w:rFonts w:ascii="Times New Roman" w:cs="Times New Roman" w:eastAsia="Times New Roman" w:hAnsi="Times New Roman"/>
          <w:sz w:val="20"/>
          <w:szCs w:val="20"/>
          <w:b w:val="1"/>
          <w:bCs w:val="1"/>
          <w:color w:val="auto"/>
        </w:rPr>
        <w:t>A&amp;R Stockholders Agreement</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September 26, 2025, the Company and each of the Stockholders entered into a Stock Exchange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Agreements</w:t>
      </w:r>
      <w:r>
        <w:rPr>
          <w:rFonts w:ascii="Times New Roman" w:cs="Times New Roman" w:eastAsia="Times New Roman" w:hAnsi="Times New Roman"/>
          <w:sz w:val="20"/>
          <w:szCs w:val="20"/>
          <w:color w:val="auto"/>
        </w:rPr>
        <w:t>”), relating to the exchange of the Stockholders’ Series B Convertible Preferred Stock for (i) shares of Series C Convertible Preferred Stock, par value $0.001 per share, of the Company (the “</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 and (ii) shares of common stock, par value $0.001 per share, of the Company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and such shares of Common Stock issued pursuant to the Exchange Agreements, the “</w:t>
      </w:r>
      <w:r>
        <w:rPr>
          <w:rFonts w:ascii="Times New Roman" w:cs="Times New Roman" w:eastAsia="Times New Roman" w:hAnsi="Times New Roman"/>
          <w:sz w:val="20"/>
          <w:szCs w:val="20"/>
          <w:b w:val="1"/>
          <w:bCs w:val="1"/>
          <w:color w:val="auto"/>
        </w:rPr>
        <w:t>Exchange Common Stock</w:t>
      </w:r>
      <w:r>
        <w:rPr>
          <w:rFonts w:ascii="Times New Roman" w:cs="Times New Roman" w:eastAsia="Times New Roman" w:hAnsi="Times New Roman"/>
          <w:sz w:val="20"/>
          <w:szCs w:val="20"/>
          <w:color w:val="auto"/>
        </w:rPr>
        <w:t>” and the transactions contemplated by the Exchange Agreements,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on the Closing Date, the Company and the Stockholders will consummate the Exchange, and the Company will issue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Preferred Stock and Exchange Common Stock to the Stockholders; and</w:t>
      </w:r>
    </w:p>
    <w:p>
      <w:pPr>
        <w:sectPr>
          <w:pgSz w:w="11900" w:h="16838" w:orient="portrait"/>
          <w:cols w:equalWidth="0" w:num="1">
            <w:col w:w="11240"/>
          </w:cols>
          <w:pgMar w:left="320" w:top="118" w:right="339" w:bottom="1440" w:gutter="0" w:footer="0" w:header="0"/>
        </w:sectPr>
      </w:pPr>
    </w:p>
    <w:bookmarkStart w:id="49" w:name="page50"/>
    <w:bookmarkEnd w:id="49"/>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the Stockholders wish to enter into this Agreement in order to amend and restate the A&amp;R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Agreement in its entirety as of the effective time of the Exchange.</w:t>
      </w:r>
    </w:p>
    <w:p>
      <w:pPr>
        <w:spacing w:after="0" w:line="1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in consideration of the mutual covenants contained herein and for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sufficiency of which are hereby acknowledged, the parties hereto hereby agree as follows:</w:t>
      </w:r>
    </w:p>
    <w:p>
      <w:pPr>
        <w:spacing w:after="0" w:line="15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3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r>
        <w:rPr>
          <w:rFonts w:ascii="Times New Roman" w:cs="Times New Roman" w:eastAsia="Times New Roman" w:hAnsi="Times New Roman"/>
          <w:sz w:val="19"/>
          <w:szCs w:val="19"/>
          <w:color w:val="auto"/>
        </w:rPr>
        <w:t>. As used in this Agreement, the following terms shall have the following meanings:</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EBITDA</w:t>
      </w:r>
      <w:r>
        <w:rPr>
          <w:rFonts w:ascii="Times New Roman" w:cs="Times New Roman" w:eastAsia="Times New Roman" w:hAnsi="Times New Roman"/>
          <w:sz w:val="20"/>
          <w:szCs w:val="20"/>
          <w:color w:val="auto"/>
        </w:rPr>
        <w:t>” means with respect to any Acquired Entity or Business (any of the foregoing, a “</w:t>
      </w:r>
      <w:r>
        <w:rPr>
          <w:rFonts w:ascii="Times New Roman" w:cs="Times New Roman" w:eastAsia="Times New Roman" w:hAnsi="Times New Roman"/>
          <w:sz w:val="20"/>
          <w:szCs w:val="20"/>
          <w:b w:val="1"/>
          <w:bCs w:val="1"/>
          <w:color w:val="auto"/>
        </w:rPr>
        <w:t>Pro Forma Entity</w:t>
      </w:r>
      <w:r>
        <w:rPr>
          <w:rFonts w:ascii="Times New Roman" w:cs="Times New Roman" w:eastAsia="Times New Roman" w:hAnsi="Times New Roman"/>
          <w:sz w:val="20"/>
          <w:szCs w:val="20"/>
          <w:color w:val="auto"/>
        </w:rPr>
        <w:t>”) for any period, the amount for such period of Consolidated EBITDA of such Pro Forma Entity (determined as if references to the Company and its Subsidiaries in the definition of the term “Consolidated EBITDA” were references to such Pro Forma Entity and its Subsidiaries which will become Subsidiaries), all as determined on a consolidated basis for such Pro Forma Entity.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Entity or Business</w:t>
      </w:r>
      <w:r>
        <w:rPr>
          <w:rFonts w:ascii="Times New Roman" w:cs="Times New Roman" w:eastAsia="Times New Roman" w:hAnsi="Times New Roman"/>
          <w:sz w:val="20"/>
          <w:szCs w:val="20"/>
          <w:color w:val="auto"/>
        </w:rPr>
        <w:t>” shall have the meaning set forth in the definition of “Consolidated EBITDA”.</w:t>
      </w:r>
    </w:p>
    <w:p>
      <w:pPr>
        <w:spacing w:after="0" w:line="20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Activist Investor</w:t>
      </w:r>
      <w:r>
        <w:rPr>
          <w:rFonts w:ascii="Times New Roman" w:cs="Times New Roman" w:eastAsia="Times New Roman" w:hAnsi="Times New Roman"/>
          <w:sz w:val="20"/>
          <w:szCs w:val="20"/>
          <w:color w:val="auto"/>
        </w:rPr>
        <w:t>” means, as of any date, any Person (other than a Stockholder or any of its Affiliates, as of the date hereof) that has been identified on the most recent “SharkWatch 50” list, or any publicly disclosed Affiliate funds of such Person.</w:t>
      </w:r>
    </w:p>
    <w:p>
      <w:pPr>
        <w:spacing w:after="0" w:line="1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Director</w:t>
      </w:r>
      <w:r>
        <w:rPr>
          <w:rFonts w:ascii="Times New Roman" w:cs="Times New Roman" w:eastAsia="Times New Roman" w:hAnsi="Times New Roman"/>
          <w:sz w:val="20"/>
          <w:szCs w:val="20"/>
          <w:color w:val="auto"/>
        </w:rPr>
        <w:t xml:space="preserve">” means any director of the Company nominated by the Charter Stockholder, the Liberty Broadband Stockholder and the Cerberus Stockholder (or to the extent that any such Stockholder no longer owns Voting Stock representing at least 7.5% of the outstanding shares of Common Stock (on an as-converted basis), only such Stockholders that continue to own Voting Stock representing at least 7.5% of the outstanding shares of Common Stock (on an as-converted basis))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 the Company and its Subsidiaries shall not be deemed to be Affiliates of any Stockholder or any of its Affiliates, (ii) “portfolio companies” (as such term is customarily used among institutional investors) in which any Stockholder or any of its Affiliates has an investment (whether as debt or equity) shall not be deemed Affiliates of such Stockholder, (iii) a Stockholder shall not be deemed an Affiliate of any other Stockholder solely as a result of their entry into this Agreement, the Exchange Agreements and the transactions contemplated thereby, and (iv) Directors designated by any Stockholder shall not be deemed Affiliates of the Company or its Subsidiaries.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have the meaning set forth in the Preamble.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Antitrust Approval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Antitrust Law</w:t>
      </w:r>
      <w:r>
        <w:rPr>
          <w:rFonts w:ascii="Times New Roman" w:cs="Times New Roman" w:eastAsia="Times New Roman" w:hAnsi="Times New Roman"/>
          <w:sz w:val="20"/>
          <w:szCs w:val="20"/>
          <w:color w:val="auto"/>
        </w:rPr>
        <w:t>” means the Sherman Antitrust Act, the Clayton Antitrust Act, the Hart-Scott-Rodino Antitrust Improvements Act of 1976, the Federal Trade Commission Act and all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Exchange.</w:t>
      </w:r>
    </w:p>
    <w:p>
      <w:pPr>
        <w:spacing w:after="0" w:line="15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as-converted basis</w:t>
      </w:r>
      <w:r>
        <w:rPr>
          <w:rFonts w:ascii="Times New Roman" w:cs="Times New Roman" w:eastAsia="Times New Roman" w:hAnsi="Times New Roman"/>
          <w:sz w:val="20"/>
          <w:szCs w:val="20"/>
          <w:color w:val="auto"/>
        </w:rPr>
        <w:t>” means, prior to the conversion of all outstanding shares of Preferred Stock into shares of Common Stock, with respect to the outstanding shares of Common Stock as of any date, all outstanding shares of Common Stock calculated on a basis in which all shares of Common Stock issuable upon conversion of the outstanding shares of Preferred Stock (at the conversion rate in effect on such date in accordance with the Certificate of Designations) are assumed to be outstanding as of such date and disregarding any other securities or derivatives that are convertible or exercisable into, or exchangeable for, any shares of Common Stock.</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Assigning Stockholder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6.11(b)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Person shall be deemed to “</w:t>
      </w:r>
      <w:r>
        <w:rPr>
          <w:rFonts w:ascii="Times New Roman" w:cs="Times New Roman" w:eastAsia="Times New Roman" w:hAnsi="Times New Roman"/>
          <w:sz w:val="20"/>
          <w:szCs w:val="20"/>
          <w:b w:val="1"/>
          <w:bCs w:val="1"/>
          <w:color w:val="auto"/>
        </w:rPr>
        <w:t>beneficially own</w:t>
      </w:r>
      <w:r>
        <w:rPr>
          <w:rFonts w:ascii="Times New Roman" w:cs="Times New Roman" w:eastAsia="Times New Roman" w:hAnsi="Times New Roman"/>
          <w:sz w:val="20"/>
          <w:szCs w:val="20"/>
          <w:color w:val="auto"/>
        </w:rPr>
        <w:t>”, to have “</w:t>
      </w: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of, or to be “</w:t>
      </w:r>
      <w:r>
        <w:rPr>
          <w:rFonts w:ascii="Times New Roman" w:cs="Times New Roman" w:eastAsia="Times New Roman" w:hAnsi="Times New Roman"/>
          <w:sz w:val="20"/>
          <w:szCs w:val="20"/>
          <w:b w:val="1"/>
          <w:bCs w:val="1"/>
          <w:color w:val="auto"/>
        </w:rPr>
        <w:t>beneficially owning</w:t>
      </w:r>
      <w:r>
        <w:rPr>
          <w:rFonts w:ascii="Times New Roman" w:cs="Times New Roman" w:eastAsia="Times New Roman" w:hAnsi="Times New Roman"/>
          <w:sz w:val="20"/>
          <w:szCs w:val="20"/>
          <w:color w:val="auto"/>
        </w:rPr>
        <w:t>” any securities (which securities shall also be deemed “beneficially owned” by such Person) that such Person or any of its Permitted Transferees (within the meaning of clauses (i) and (ii) of such defined term) is deemed to “beneficially own” within the meaning of Rules 13d-3 and 13d-5 under the Exchange Act, without regard to the requirement that the right to acquire the beneficial ownership of any securities must be exercisable within sixty (60) days (including assuming conversion of all shares of Preferred Stock, if any, owned by such Person to Common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Saturday or Sunday or a day on which commercial banks are authorized or required by law to be closed in New York, New York.</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Buying Stockholder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2.1(g)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Bylaws</w:t>
      </w:r>
      <w:r>
        <w:rPr>
          <w:rFonts w:ascii="Times New Roman" w:cs="Times New Roman" w:eastAsia="Times New Roman" w:hAnsi="Times New Roman"/>
          <w:sz w:val="20"/>
          <w:szCs w:val="20"/>
          <w:color w:val="auto"/>
        </w:rPr>
        <w:t>” means the Amended and Restated Bylaws of the Company (as amended from time to time).</w:t>
      </w:r>
    </w:p>
    <w:p>
      <w:pPr>
        <w:spacing w:after="0" w:line="20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Stock</w:t>
      </w:r>
      <w:r>
        <w:rPr>
          <w:rFonts w:ascii="Times New Roman" w:cs="Times New Roman" w:eastAsia="Times New Roman" w:hAnsi="Times New Roman"/>
          <w:sz w:val="20"/>
          <w:szCs w:val="20"/>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Cash-settled Exchangeables</w:t>
      </w:r>
      <w:r>
        <w:rPr>
          <w:rFonts w:ascii="Times New Roman" w:cs="Times New Roman" w:eastAsia="Times New Roman" w:hAnsi="Times New Roman"/>
          <w:sz w:val="20"/>
          <w:szCs w:val="20"/>
          <w:color w:val="auto"/>
        </w:rPr>
        <w:t>” means bona fide sales of, or other transactions in, exchangeable notes, debentures or similar securities with respect to which Common Stock or Preferred Stock is the underlying security, which, by their terms, permit only cash settlement (and/or settlement with securities that are not Common Stock or Preferred Stock) of the Stockholder’s obligations thereunder and any bond hedge and warrant transactions or other call spread overlays or capped call transactions relating to such Cash-settled Exchangeables which, by their terms, permit only cash settlement (and/or settlement with securities that are not Common Stock or Preferred Stock) of the Stockholder’s obligations thereunder.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Cerberus Director</w:t>
      </w:r>
      <w:r>
        <w:rPr>
          <w:rFonts w:ascii="Times New Roman" w:cs="Times New Roman" w:eastAsia="Times New Roman" w:hAnsi="Times New Roman"/>
          <w:sz w:val="20"/>
          <w:szCs w:val="20"/>
          <w:color w:val="auto"/>
        </w:rPr>
        <w:t xml:space="preserve">” means any director of the Company designated by the Cerberus Stockholder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Cerberus Stockholder</w:t>
      </w:r>
      <w:r>
        <w:rPr>
          <w:rFonts w:ascii="Times New Roman" w:cs="Times New Roman" w:eastAsia="Times New Roman" w:hAnsi="Times New Roman"/>
          <w:sz w:val="20"/>
          <w:szCs w:val="20"/>
          <w:color w:val="auto"/>
        </w:rPr>
        <w:t>” shall have the meaning set forth in the Preamble.</w:t>
      </w:r>
    </w:p>
    <w:p>
      <w:pPr>
        <w:spacing w:after="0" w:line="202"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Designations</w:t>
      </w:r>
      <w:r>
        <w:rPr>
          <w:rFonts w:ascii="Times New Roman" w:cs="Times New Roman" w:eastAsia="Times New Roman" w:hAnsi="Times New Roman"/>
          <w:sz w:val="20"/>
          <w:szCs w:val="20"/>
          <w:color w:val="auto"/>
        </w:rPr>
        <w:t>” means that certain Certificate of Designations relating to the Preferred Stock, as it may be amended from time to time.</w:t>
      </w:r>
    </w:p>
    <w:p>
      <w:pPr>
        <w:spacing w:after="0" w:line="12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Certificate of Incorporation</w:t>
      </w:r>
      <w:r>
        <w:rPr>
          <w:rFonts w:ascii="Times New Roman" w:cs="Times New Roman" w:eastAsia="Times New Roman" w:hAnsi="Times New Roman"/>
          <w:sz w:val="20"/>
          <w:szCs w:val="20"/>
          <w:color w:val="auto"/>
        </w:rPr>
        <w:t>” means the Amended and Restated Certificate of Incorporation of the Company, as filed with the Secretary of State of the State of Delaware (as amended from time to time).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shall have the meaning set forth in the Certificate of Designations.</w:t>
      </w:r>
    </w:p>
    <w:p>
      <w:pPr>
        <w:spacing w:after="0" w:line="202"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Commercial Agreements</w:t>
      </w:r>
      <w:r>
        <w:rPr>
          <w:rFonts w:ascii="Times New Roman" w:cs="Times New Roman" w:eastAsia="Times New Roman" w:hAnsi="Times New Roman"/>
          <w:sz w:val="20"/>
          <w:szCs w:val="20"/>
          <w:color w:val="auto"/>
        </w:rPr>
        <w:t>” means, collectively, the Data License Agreement and Service Order, in each case entered into between Charter Communications Operating, LLC and the Company as of March 10, 2021, as amended through the Closing Date.</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Director</w:t>
      </w:r>
      <w:r>
        <w:rPr>
          <w:rFonts w:ascii="Times New Roman" w:cs="Times New Roman" w:eastAsia="Times New Roman" w:hAnsi="Times New Roman"/>
          <w:sz w:val="20"/>
          <w:szCs w:val="20"/>
          <w:color w:val="auto"/>
        </w:rPr>
        <w:t xml:space="preserve">” means any director of the Company designated by the Charter Stockholder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Purchase Agreement</w:t>
      </w:r>
      <w:r>
        <w:rPr>
          <w:rFonts w:ascii="Times New Roman" w:cs="Times New Roman" w:eastAsia="Times New Roman" w:hAnsi="Times New Roman"/>
          <w:sz w:val="20"/>
          <w:szCs w:val="20"/>
          <w:color w:val="auto"/>
        </w:rPr>
        <w:t>” shall have the meaning set forth in the Recitals.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Stockholder</w:t>
      </w:r>
      <w:r>
        <w:rPr>
          <w:rFonts w:ascii="Times New Roman" w:cs="Times New Roman" w:eastAsia="Times New Roman" w:hAnsi="Times New Roman"/>
          <w:sz w:val="20"/>
          <w:szCs w:val="20"/>
          <w:color w:val="auto"/>
        </w:rPr>
        <w:t>” shall have the meaning set forth in the Preamble.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shall have the meaning set forth in the Preamble.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Chosen Courts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shall have the meaning set forth in the Recitals.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have the meaning set forth in the Preamble.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means, as determined on a consolidated basis for the Company and its Subsidiaries for any period,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 the Consolidated Net Income for such period,</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plus</w:t>
      </w:r>
    </w:p>
    <w:p>
      <w:pPr>
        <w:spacing w:after="0" w:line="260" w:lineRule="exact"/>
        <w:rPr>
          <w:sz w:val="20"/>
          <w:szCs w:val="20"/>
          <w:color w:val="auto"/>
        </w:rPr>
      </w:pPr>
    </w:p>
    <w:p>
      <w:pPr>
        <w:jc w:val="both"/>
        <w:ind w:left="660" w:firstLine="644"/>
        <w:spacing w:after="0" w:line="261" w:lineRule="auto"/>
        <w:tabs>
          <w:tab w:leader="none" w:pos="159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already deducted (and not added back) in arriving at such Consolidated Net Income for such period (or, as applicable, to the extent not already included in Consolidated Net Income), the sum (without duplication) of the following amounts for such period:</w:t>
      </w:r>
    </w:p>
    <w:p>
      <w:pPr>
        <w:spacing w:after="0" w:line="195" w:lineRule="exact"/>
        <w:rPr>
          <w:sz w:val="20"/>
          <w:szCs w:val="20"/>
          <w:color w:val="auto"/>
        </w:rPr>
      </w:pPr>
    </w:p>
    <w:p>
      <w:pPr>
        <w:jc w:val="both"/>
        <w:ind w:left="660" w:firstLine="644"/>
        <w:spacing w:after="0" w:line="258" w:lineRule="auto"/>
        <w:tabs>
          <w:tab w:leader="none" w:pos="16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interest expense (including amortization, write-down or write-off of deferred financing cost and original issue discount) and, to the extent not reflected in such total interest expense, any losses on swap obligations or other derivative instruments entered into for the purpose of hedging interest rate risk, net of interest income and gains on such swap obligations or such derivative instruments, and bank and letter of credit fees and costs of surety bonds in connection with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52" w:name="page53"/>
    <w:bookmarkEnd w:id="52"/>
    <w:p>
      <w:pPr>
        <w:ind w:left="4" w:firstLine="644"/>
        <w:spacing w:after="0" w:line="258" w:lineRule="auto"/>
        <w:tabs>
          <w:tab w:leader="none" w:pos="96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taxes based on income, profits or capital gains, including federal, foreign, state, franchise, excise and similar taxes paid or accrued during such period (including in respect of repatriated funds),</w:t>
      </w:r>
    </w:p>
    <w:p>
      <w:pPr>
        <w:ind w:left="4" w:firstLine="644"/>
        <w:spacing w:after="0" w:line="260" w:lineRule="auto"/>
        <w:tabs>
          <w:tab w:leader="none" w:pos="94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(including amortization of intangible assets established through purchase accounting and amortization of deferred financing fees or costs),</w:t>
      </w:r>
    </w:p>
    <w:p>
      <w:pPr>
        <w:spacing w:after="0" w:line="195" w:lineRule="exact"/>
        <w:rPr>
          <w:rFonts w:ascii="Times New Roman" w:cs="Times New Roman" w:eastAsia="Times New Roman" w:hAnsi="Times New Roman"/>
          <w:sz w:val="20"/>
          <w:szCs w:val="20"/>
          <w:color w:val="auto"/>
        </w:rPr>
      </w:pPr>
    </w:p>
    <w:p>
      <w:pPr>
        <w:jc w:val="both"/>
        <w:ind w:left="4" w:firstLine="644"/>
        <w:spacing w:after="0" w:line="268" w:lineRule="auto"/>
        <w:tabs>
          <w:tab w:leader="none" w:pos="95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losses, expenses or charges (excluding any non-cash charges which consists of or requires an accrual of, or reserve for, potential cash charges in any future period), including, without limitation, non-cash adjustments resulting from the application of purchase accounting and non-cash impairment of good will and other long-term intangible assets,</w:t>
      </w:r>
    </w:p>
    <w:p>
      <w:pPr>
        <w:spacing w:after="0" w:line="188"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losses in accordance with GAAP,</w:t>
      </w:r>
    </w:p>
    <w:p>
      <w:pPr>
        <w:spacing w:after="0" w:line="256" w:lineRule="exact"/>
        <w:rPr>
          <w:rFonts w:ascii="Times New Roman" w:cs="Times New Roman" w:eastAsia="Times New Roman" w:hAnsi="Times New Roman"/>
          <w:sz w:val="20"/>
          <w:szCs w:val="20"/>
          <w:color w:val="auto"/>
        </w:rPr>
      </w:pPr>
    </w:p>
    <w:p>
      <w:pPr>
        <w:ind w:left="4" w:firstLine="644"/>
        <w:spacing w:after="0" w:line="269" w:lineRule="auto"/>
        <w:tabs>
          <w:tab w:leader="none" w:pos="939"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unusual or non-recurring charges (including litigation and investigation-related costs and expenses, costs associated with tax projects/audits and professional, consulting or other fees),</w:t>
      </w:r>
    </w:p>
    <w:p>
      <w:pPr>
        <w:spacing w:after="0" w:line="199"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 accruals or reserves,</w:t>
      </w:r>
    </w:p>
    <w:p>
      <w:pPr>
        <w:spacing w:after="0" w:line="256" w:lineRule="exact"/>
        <w:rPr>
          <w:rFonts w:ascii="Times New Roman" w:cs="Times New Roman" w:eastAsia="Times New Roman" w:hAnsi="Times New Roman"/>
          <w:sz w:val="20"/>
          <w:szCs w:val="20"/>
          <w:color w:val="auto"/>
        </w:rPr>
      </w:pPr>
    </w:p>
    <w:p>
      <w:pPr>
        <w:ind w:left="4" w:firstLine="644"/>
        <w:spacing w:after="0" w:line="269" w:lineRule="auto"/>
        <w:tabs>
          <w:tab w:leader="none" w:pos="93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losses on asset sales, disposals or abandonments (other than asset sales, disposals or abandonments in the ordinary course of business),</w:t>
      </w:r>
    </w:p>
    <w:p>
      <w:pPr>
        <w:spacing w:after="0" w:line="199"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net losses from discontinued operations in accordance with GAAP,</w:t>
      </w:r>
    </w:p>
    <w:p>
      <w:pPr>
        <w:spacing w:after="0" w:line="242" w:lineRule="exact"/>
        <w:rPr>
          <w:rFonts w:ascii="Times New Roman" w:cs="Times New Roman" w:eastAsia="Times New Roman" w:hAnsi="Times New Roman"/>
          <w:sz w:val="20"/>
          <w:szCs w:val="20"/>
          <w:color w:val="auto"/>
        </w:rPr>
      </w:pPr>
    </w:p>
    <w:p>
      <w:pPr>
        <w:jc w:val="both"/>
        <w:ind w:left="4" w:firstLine="644"/>
        <w:spacing w:after="0" w:line="253" w:lineRule="auto"/>
        <w:tabs>
          <w:tab w:leader="none" w:pos="105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charges or losses that are covered by indemnification or other reimbursement provisions in connection with any acquisition or any sale, conveyance, transfer or other disposition of assets, to the extent actually reimbursed, or, so long as the Company has received notification from the applicable carrier that it intends to indemnify or reimburse such expenses, charges or losses and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such expenses, charges or losses,</w:t>
      </w:r>
    </w:p>
    <w:p>
      <w:pPr>
        <w:spacing w:after="0" w:line="206" w:lineRule="exact"/>
        <w:rPr>
          <w:rFonts w:ascii="Times New Roman" w:cs="Times New Roman" w:eastAsia="Times New Roman" w:hAnsi="Times New Roman"/>
          <w:sz w:val="20"/>
          <w:szCs w:val="20"/>
          <w:color w:val="auto"/>
        </w:rPr>
      </w:pPr>
    </w:p>
    <w:p>
      <w:pPr>
        <w:jc w:val="both"/>
        <w:ind w:left="4" w:firstLine="644"/>
        <w:spacing w:after="0" w:line="275" w:lineRule="auto"/>
        <w:tabs>
          <w:tab w:leader="none" w:pos="1035"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covered by insurance and actually reimbursed, or, so long as the Company has made a determination that there exists reasonable evidence that such amount will in fact be reimbursed by the insurer and only to the extent that such amount is</w:t>
      </w:r>
    </w:p>
    <w:p>
      <w:pPr>
        <w:jc w:val="both"/>
        <w:ind w:left="4" w:hanging="4"/>
        <w:spacing w:after="0" w:line="253" w:lineRule="auto"/>
        <w:tabs>
          <w:tab w:leader="none" w:pos="34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denied by the applicable carrier in writing within 180 days and (B) in fact reimbursed within 365 days of the date of such evidence (with a deduction for any amount so added back to the extent not so reimbursed within such 365 days), expenses, charges or losses with respect to liability or casualty event or business interruption,</w:t>
      </w:r>
    </w:p>
    <w:p>
      <w:pPr>
        <w:spacing w:after="0" w:line="202" w:lineRule="exact"/>
        <w:rPr>
          <w:rFonts w:ascii="Times New Roman" w:cs="Times New Roman" w:eastAsia="Times New Roman" w:hAnsi="Times New Roman"/>
          <w:sz w:val="20"/>
          <w:szCs w:val="20"/>
          <w:color w:val="auto"/>
        </w:rPr>
      </w:pPr>
    </w:p>
    <w:p>
      <w:pPr>
        <w:jc w:val="both"/>
        <w:ind w:left="4" w:firstLine="644"/>
        <w:spacing w:after="0" w:line="258" w:lineRule="auto"/>
        <w:tabs>
          <w:tab w:leader="none" w:pos="1037"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(including, for the avoidance of doubt, any retention or other transaction-related compensation costs and any employer taxes related thereto) and expenses incurred in connection with the transactions contemplated by the Purchase Agreements and related documents, the Stockholders Agreement, the Subscription Agreements, the A&amp;R Stockholders Agreement, the Exchange, this Agreement and the Exchange Agreements,</w:t>
      </w:r>
    </w:p>
    <w:p>
      <w:pPr>
        <w:spacing w:after="0" w:line="212" w:lineRule="exact"/>
        <w:rPr>
          <w:rFonts w:ascii="Times New Roman" w:cs="Times New Roman" w:eastAsia="Times New Roman" w:hAnsi="Times New Roman"/>
          <w:sz w:val="20"/>
          <w:szCs w:val="20"/>
          <w:color w:val="auto"/>
        </w:rPr>
      </w:pPr>
    </w:p>
    <w:p>
      <w:pPr>
        <w:ind w:left="4" w:firstLine="644"/>
        <w:spacing w:after="0" w:line="269" w:lineRule="auto"/>
        <w:tabs>
          <w:tab w:leader="none" w:pos="105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costs and expenses incurred during such period, or any amortization thereof for such period, in connection with any acquisition, investment, asset disposition,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4"/>
          </w:cols>
          <w:pgMar w:left="976" w:top="1413" w:right="339" w:bottom="1440" w:gutter="0" w:footer="0" w:header="0"/>
        </w:sectPr>
      </w:pPr>
    </w:p>
    <w:bookmarkStart w:id="53" w:name="page54"/>
    <w:bookmarkEnd w:id="53"/>
    <w:p>
      <w:pPr>
        <w:jc w:val="both"/>
        <w:ind w:left="660"/>
        <w:spacing w:after="0" w:line="310" w:lineRule="auto"/>
        <w:rPr>
          <w:sz w:val="20"/>
          <w:szCs w:val="20"/>
          <w:color w:val="auto"/>
        </w:rPr>
      </w:pPr>
      <w:r>
        <w:rPr>
          <w:rFonts w:ascii="Times New Roman" w:cs="Times New Roman" w:eastAsia="Times New Roman" w:hAnsi="Times New Roman"/>
          <w:sz w:val="19"/>
          <w:szCs w:val="19"/>
          <w:color w:val="auto"/>
        </w:rPr>
        <w:t>incurrence, issuance or repayment of debt, issuance of equity securities, refinancing transaction or amendment or other modification of any debt instrument and any charges or non-recurring merger costs incurred during such period as a result of any such transaction,</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less</w:t>
      </w:r>
    </w:p>
    <w:p>
      <w:pPr>
        <w:spacing w:after="0" w:line="32" w:lineRule="exact"/>
        <w:rPr>
          <w:sz w:val="20"/>
          <w:szCs w:val="20"/>
          <w:color w:val="auto"/>
        </w:rPr>
      </w:pPr>
    </w:p>
    <w:p>
      <w:pPr>
        <w:ind w:left="660" w:firstLine="644"/>
        <w:spacing w:after="0" w:line="253" w:lineRule="auto"/>
        <w:tabs>
          <w:tab w:leader="none" w:pos="160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and to the extent included in arriving at such Consolidated Net Income (or, as applicable, to the extent not already included in Consolidated Net Income), the sum of the following amounts for such period:</w:t>
      </w:r>
    </w:p>
    <w:p>
      <w:pPr>
        <w:spacing w:after="0" w:line="215" w:lineRule="exact"/>
        <w:rPr>
          <w:sz w:val="20"/>
          <w:szCs w:val="20"/>
          <w:color w:val="auto"/>
        </w:rPr>
      </w:pPr>
    </w:p>
    <w:p>
      <w:pPr>
        <w:ind w:left="1580" w:hanging="276"/>
        <w:spacing w:after="0"/>
        <w:tabs>
          <w:tab w:leader="none" w:pos="1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gains in accordance with GAAP and unusual or non-recurring gains,</w:t>
      </w:r>
    </w:p>
    <w:p>
      <w:pPr>
        <w:spacing w:after="0" w:line="256"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gains,</w:t>
      </w:r>
    </w:p>
    <w:p>
      <w:pPr>
        <w:spacing w:after="0" w:line="242" w:lineRule="exact"/>
        <w:rPr>
          <w:rFonts w:ascii="Times New Roman" w:cs="Times New Roman" w:eastAsia="Times New Roman" w:hAnsi="Times New Roman"/>
          <w:sz w:val="20"/>
          <w:szCs w:val="20"/>
          <w:color w:val="auto"/>
        </w:rPr>
      </w:pPr>
    </w:p>
    <w:p>
      <w:pPr>
        <w:ind w:left="660" w:firstLine="644"/>
        <w:spacing w:after="0" w:line="283" w:lineRule="auto"/>
        <w:tabs>
          <w:tab w:leader="none" w:pos="159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on asset sales, disposals or abandonments (other than asset sales, disposals or abandonments in the ordinary course of business), and</w:t>
      </w:r>
    </w:p>
    <w:p>
      <w:pPr>
        <w:spacing w:after="0" w:line="173"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net income from discontinued operations in accordance with GAAP;</w:t>
      </w: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to the extent included in Consolidated Net Income,</w:t>
      </w:r>
    </w:p>
    <w:p>
      <w:pPr>
        <w:spacing w:after="0" w:line="260" w:lineRule="exact"/>
        <w:rPr>
          <w:sz w:val="20"/>
          <w:szCs w:val="20"/>
          <w:color w:val="auto"/>
        </w:rPr>
      </w:pPr>
    </w:p>
    <w:p>
      <w:pPr>
        <w:jc w:val="both"/>
        <w:ind w:left="660" w:firstLine="644"/>
        <w:spacing w:after="0" w:line="251" w:lineRule="auto"/>
        <w:tabs>
          <w:tab w:leader="none" w:pos="16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included in determining Consolidated EBITDA for any period, without duplication, the Acquired EBITDA of any Person, property, business or asset acquired by the Company or any Subsidiary of the Company during such period to the extent not subsequently sold, transferred or otherwise disposed of (but not including the Acquired EBITDA of any related Person, property, business or assets to the extent not so acquired) (each such Person, property, business or asset acquired, and not subsequently so disposed of, an “Acquired Entity or Business”), in each case based on the Pro Forma Entity for such period (including the portion thereof occurring prior to such acquisition or conversion) determined on a historical Pro Forma Basis as if such acquisition occurred on the first day of such period,</w:t>
      </w:r>
    </w:p>
    <w:p>
      <w:pPr>
        <w:spacing w:after="0" w:line="219"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651"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be excluded in determining Consolidated EBITDA for any period the Disposed EBITDA of any Person, property, business or asset sold, transferred or otherwise disposed of, closed or classified as discontinued operations by the Company or any Subsidiary of the Company during such period (each such Person, property, business or asset so sold, transferred or otherwise disposed of, closed or classified, a “Sold Entity or Business”), in each case based on the Disposed EBITDA of such Sold Entity or Business for such period (including the portion thereof occurring prior to such sale, transfer, disposition, closure, classification or conversion) determined on a historical Pro Forma Basis as if such disposition occurred on the first day of such period; and</w:t>
      </w:r>
    </w:p>
    <w:p>
      <w:pPr>
        <w:spacing w:after="0" w:line="191" w:lineRule="exact"/>
        <w:rPr>
          <w:rFonts w:ascii="Times New Roman" w:cs="Times New Roman" w:eastAsia="Times New Roman" w:hAnsi="Times New Roman"/>
          <w:sz w:val="19"/>
          <w:szCs w:val="19"/>
          <w:color w:val="auto"/>
        </w:rPr>
      </w:pPr>
    </w:p>
    <w:p>
      <w:pPr>
        <w:ind w:left="660" w:firstLine="644"/>
        <w:spacing w:after="0" w:line="283" w:lineRule="auto"/>
        <w:tabs>
          <w:tab w:leader="none" w:pos="165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be excluded in determining Consolidated EBITDA for any period the cumulative effect of a change in accounting principles during such period to the extent included in Consolidated Net Income.</w:t>
      </w:r>
    </w:p>
    <w:p>
      <w:pPr>
        <w:spacing w:after="0" w:line="16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Incom</w:t>
      </w:r>
      <w:r>
        <w:rPr>
          <w:rFonts w:ascii="Times New Roman" w:cs="Times New Roman" w:eastAsia="Times New Roman" w:hAnsi="Times New Roman"/>
          <w:sz w:val="20"/>
          <w:szCs w:val="20"/>
          <w:color w:val="auto"/>
        </w:rPr>
        <w:t>e” means, for any period, the net income (loss) of the Company and its Subsidiaries for such period determined on a consolidated basis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54" w:name="page55"/>
    <w:bookmarkEnd w:id="54"/>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Net Debt</w:t>
      </w:r>
      <w:r>
        <w:rPr>
          <w:rFonts w:ascii="Times New Roman" w:cs="Times New Roman" w:eastAsia="Times New Roman" w:hAnsi="Times New Roman"/>
          <w:sz w:val="20"/>
          <w:szCs w:val="20"/>
          <w:color w:val="auto"/>
        </w:rPr>
        <w:t>” means, as at any date of determination, (a) Indebtedness of the Company and its Subsidiaries as of such date determined on a consolidated basis in accordance with GAAP, minus (b) the aggregate amount of all cash and cash equivalents of the Company or any of its Subsidiaries as of such date that would not appear as “restricted” on a consolidated balance sheet of the Company and its Subsidiaries.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means the Delaware General Corporation Law (as amended, supplemented or restated from time to time).</w:t>
      </w:r>
    </w:p>
    <w:p>
      <w:pPr>
        <w:spacing w:after="0" w:line="25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Directors</w:t>
      </w:r>
      <w:r>
        <w:rPr>
          <w:rFonts w:ascii="Times New Roman" w:cs="Times New Roman" w:eastAsia="Times New Roman" w:hAnsi="Times New Roman"/>
          <w:sz w:val="20"/>
          <w:szCs w:val="20"/>
          <w:color w:val="auto"/>
        </w:rPr>
        <w:t>” means the Charter Director, the Liberty Broadband Director, the Cerberus Director, or the Additional Director, as the context may require.</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Disposed EBITDA</w:t>
      </w:r>
      <w:r>
        <w:rPr>
          <w:rFonts w:ascii="Times New Roman" w:cs="Times New Roman" w:eastAsia="Times New Roman" w:hAnsi="Times New Roman"/>
          <w:sz w:val="20"/>
          <w:szCs w:val="20"/>
          <w:color w:val="auto"/>
        </w:rPr>
        <w:t>” means with respect to any Sold Entity or Business for any period, the amount for such period of Consolidated EBITDA of such Sold Entity or Business (determined as if references to the Company and its Subsidiaries in the definition of the term “Consolidated EBITDA” (and in the component financial definitions used therein) were references to such Sold Entity or Business and its Subsidiaries), all as determined on a consolidated basis for such Sold Entity or Business.</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Distribution Transaction</w:t>
      </w:r>
      <w:r>
        <w:rPr>
          <w:rFonts w:ascii="Times New Roman" w:cs="Times New Roman" w:eastAsia="Times New Roman" w:hAnsi="Times New Roman"/>
          <w:sz w:val="20"/>
          <w:szCs w:val="20"/>
          <w:color w:val="auto"/>
        </w:rPr>
        <w:t xml:space="preserve">” means any transaction pursuant to which the equity interests of the Qualified Distribution Transferee are distributed (whether by redemption, dividend, share distribution, </w:t>
      </w:r>
      <w:r>
        <w:rPr>
          <w:rFonts w:ascii="Times New Roman" w:cs="Times New Roman" w:eastAsia="Times New Roman" w:hAnsi="Times New Roman"/>
          <w:sz w:val="21"/>
          <w:szCs w:val="21"/>
          <w:color w:val="auto"/>
        </w:rPr>
        <w:t>m</w:t>
      </w:r>
      <w:r>
        <w:rPr>
          <w:rFonts w:ascii="Times New Roman" w:cs="Times New Roman" w:eastAsia="Times New Roman" w:hAnsi="Times New Roman"/>
          <w:sz w:val="20"/>
          <w:szCs w:val="20"/>
          <w:color w:val="auto"/>
        </w:rPr>
        <w:t>erger or otherwise) to all the holders of one or more classes or series of the common stock of the Liberty Broadband Stockholder (or the applicable parent company of the Liberty Broadband Stockholder), which classes or series of common stock are registered under Section 12(b) or 12(g) of the Exchange Act (all the holders of one or more such classes or series, “Parent Company Holders”), on a pro rata basis with respect to each such class or series, or such equity interests of the Qualified Distribution Transferee are made available to be acquired by Parent Company Holders (including through any rights offering, exchange offer, exercise of subscription rights or other offer made available to Parent Company Holders), on a pro rata basis with respect to each such class or series, whether voluntary or involuntary.</w:t>
      </w:r>
    </w:p>
    <w:p>
      <w:pPr>
        <w:spacing w:after="0" w:line="20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Equity Linked Financing</w:t>
      </w:r>
      <w:r>
        <w:rPr>
          <w:rFonts w:ascii="Times New Roman" w:cs="Times New Roman" w:eastAsia="Times New Roman" w:hAnsi="Times New Roman"/>
          <w:sz w:val="19"/>
          <w:szCs w:val="19"/>
          <w:color w:val="auto"/>
        </w:rPr>
        <w:t>” means bona fide option, forward, swap or other derivative transactions with linked financing of Preferred Stock, including shares of Common Stock issued or issuable upon conversion of such shares of Preferred Stock in accordance with the Certificate of Designations, which, by their terms, require cash settlement of the Stockholder’s obligations thereunder, and, if applicable, stock loans of Preferred Stock or Common Stock beneficially owned by a Stockholder or its Affiliates in support of such a transaction.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shall have the meaning set forth in the Recitals.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Agreements</w:t>
      </w:r>
      <w:r>
        <w:rPr>
          <w:rFonts w:ascii="Times New Roman" w:cs="Times New Roman" w:eastAsia="Times New Roman" w:hAnsi="Times New Roman"/>
          <w:sz w:val="20"/>
          <w:szCs w:val="20"/>
          <w:color w:val="auto"/>
        </w:rPr>
        <w:t>” shall have the meaning set forth in the Recitals.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Common Stock</w:t>
      </w:r>
      <w:r>
        <w:rPr>
          <w:rFonts w:ascii="Times New Roman" w:cs="Times New Roman" w:eastAsia="Times New Roman" w:hAnsi="Times New Roman"/>
          <w:sz w:val="20"/>
          <w:szCs w:val="20"/>
          <w:color w:val="auto"/>
        </w:rPr>
        <w:t>” shall have the meaning set forth in the Recitals.</w:t>
      </w:r>
    </w:p>
    <w:p>
      <w:pPr>
        <w:spacing w:after="0" w:line="256"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Common Stock Ownership</w:t>
      </w:r>
      <w:r>
        <w:rPr>
          <w:rFonts w:ascii="Times New Roman" w:cs="Times New Roman" w:eastAsia="Times New Roman" w:hAnsi="Times New Roman"/>
          <w:sz w:val="20"/>
          <w:szCs w:val="20"/>
          <w:color w:val="auto"/>
        </w:rPr>
        <w:t>” means, with respect to each of the Stockholders, the number of shares of Exchange Common Stock held by such Stockholder as of the Closing Date after giving effect to the Exchange, as equitably adjusted for any stock split, reverse stock split, combination, recapitalization or similar event with respect to the Exchange Common Stock occurring subsequent to the Closing Date.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55" w:name="page56"/>
    <w:bookmarkEnd w:id="55"/>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Securities</w:t>
      </w:r>
      <w:r>
        <w:rPr>
          <w:rFonts w:ascii="Times New Roman" w:cs="Times New Roman" w:eastAsia="Times New Roman" w:hAnsi="Times New Roman"/>
          <w:sz w:val="20"/>
          <w:szCs w:val="20"/>
          <w:color w:val="auto"/>
        </w:rPr>
        <w:t>” means (i) shares of Common Stock or options or rights to purchase such shares, in each case issued to directors, officers, employees or consultants pursuant to any present or future employee, director or consultant benefit plan or program of, or assumed by, the Company or any of its Subsidiaries and approved by the Board, or a committee thereof, or any employee agreements or arrangements or programs approved by the Board, or a committee thereof, (ii) shares of Common Stock issued or issuable upon conversion of the Preferred Stock in accordance with the terms hereof or the Certificate of Designations, (iii) shares of Common Stock issued as consideration for the acquisition of another entity by the Company by merger, purchase of substantially all of the assets or other reorganization or a bona fide joint venture agreement, (iv) shares of Common Stock issued or issuable to third party banks or financial institutions engaged in the business of making loans pursuant to a bona fide debt financing transaction on market terms up to an aggregate maximum, together with any shares issued or issuable under clause (v) of this definition, of 175,000 shares of Common Stock (as equitably adjusted for any stock split, reverse stock split, combination, recapitalization or similar event with respect to the Common Stock occurring subsequent to the Closing Date), (v) shares of Common Stock issued or issuable in connection with sponsored research, collaboration, technology license, development, marketing or other similar agreements or similar strategic partnerships up to an aggregate maximum, together with any shares issued or issuable under clause (iv) of this definition, of 175,000 shares of Common Stock (as equitably adjusted for any stock split, reverse stock split, combination, recapitalization or similar event with respect to the Common Stock occurring subsequent to the Closing Date), (vi) rights, options or warrants to acquire shares of Capital Stock issued in connection with any stockholder rights plan approved by the Board, and (vii) Capital Stock (including any shares of Preferred Stock or Common Stock) issued pursuant to any dividend, split, combination or other reclassification (including pursuant to the Certificate of Designations).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Sponsor Parties</w:t>
      </w:r>
      <w:r>
        <w:rPr>
          <w:rFonts w:ascii="Times New Roman" w:cs="Times New Roman" w:eastAsia="Times New Roman" w:hAnsi="Times New Roman"/>
          <w:sz w:val="20"/>
          <w:szCs w:val="20"/>
          <w:color w:val="auto"/>
        </w:rPr>
        <w:t>” shall have the meaning set forth in Section 6.17.</w:t>
      </w:r>
    </w:p>
    <w:p>
      <w:pPr>
        <w:spacing w:after="0" w:line="2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Transfer</w:t>
      </w:r>
      <w:r>
        <w:rPr>
          <w:rFonts w:ascii="Times New Roman" w:cs="Times New Roman" w:eastAsia="Times New Roman" w:hAnsi="Times New Roman"/>
          <w:sz w:val="20"/>
          <w:szCs w:val="20"/>
          <w:color w:val="auto"/>
        </w:rPr>
        <w:t>” means any of the following Transfers: (i) Transfers to a Permitted Transferee, (ii) Transfers in connection with a change of control of a Stockholder, (iii) Transfer or issuances of any limited partnership interests or other equity interests in a Stockholder (or any direct or indirect parent entity of such Stockholder, including any affiliated investment fund, co-investment vehicle or aggregator (or equivalent)) (provided that any transferor or transferee thereof shall be controlled (directly or indirectly) by the Person (directly or indirectly) controlling such Person immediately prior to such transfer), (iv) Transfers in the event of a liquidation, merger, consolidation, stock exchange, business combination, tender offer or other similar transaction which results in all holders of the Company’s Voting Stock having the right to exchange their Voting Stock for cash, securities or other property (including, for the avoidance of doubt, any tender offer or exchange offer that is for less than all of the outstanding shares of Common Stock of the Company), to the extent the applicable transaction is approved by the Board, (v) Transfers in connection with a Permitted Loan (and any foreclosure by such financial institution or Transfer to such financial institution in lieu of foreclosure and subsequent sale of the securities), as long as such financial institution agrees with the relevant Stockholder (with the Company as an express third party beneficiary of such agreement) that following such foreclosure or in connection with such Transfer it shall not directly or indirectly Transfer (other than pursuant to a broadly distributed offering or a sale effected through a broker-dealer) such foreclosed or Transferred, as the case may be, Lock-Up Shares to an Industry Person, Activist Investor or Restricted Person without the Company’s consent (such agreement by the relevant financial institution, the “</w:t>
      </w:r>
      <w:r>
        <w:rPr>
          <w:rFonts w:ascii="Times New Roman" w:cs="Times New Roman" w:eastAsia="Times New Roman" w:hAnsi="Times New Roman"/>
          <w:sz w:val="20"/>
          <w:szCs w:val="20"/>
          <w:b w:val="1"/>
          <w:bCs w:val="1"/>
          <w:color w:val="auto"/>
        </w:rPr>
        <w:t>Foreclosure Limitations</w:t>
      </w:r>
      <w:r>
        <w:rPr>
          <w:rFonts w:ascii="Times New Roman" w:cs="Times New Roman" w:eastAsia="Times New Roman" w:hAnsi="Times New Roman"/>
          <w:sz w:val="20"/>
          <w:szCs w:val="20"/>
          <w:color w:val="auto"/>
        </w:rPr>
        <w:t>”) (it being understood that a list of Industry Persons, Activist Investors and Restricted Persons shall be set forth in any issuer agreement entered into at the time of the Permitted Loan or as otherwise agreed between the Company, the relevant Stockholder and/or the relevant financial institution(s), as the case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51" w:lineRule="auto"/>
        <w:rPr>
          <w:sz w:val="20"/>
          <w:szCs w:val="20"/>
          <w:color w:val="auto"/>
        </w:rPr>
      </w:pPr>
      <w:r>
        <w:rPr>
          <w:rFonts w:ascii="Times New Roman" w:cs="Times New Roman" w:eastAsia="Times New Roman" w:hAnsi="Times New Roman"/>
          <w:sz w:val="20"/>
          <w:szCs w:val="20"/>
          <w:color w:val="auto"/>
        </w:rPr>
        <w:t>may be). Subject to the Foreclosure Limitations, nothing contained in this Agreement shall prohibit or otherwise restrict the ability of any lender (or its securities’ affiliate) or collateral agent to foreclose upon, or accept a Transfer in lieu of foreclosure, and sell, dispose of or otherwise Transfer the Exchange Common Stock, Preferred Stock and/or shares of Common Stock issued upon conversion of Preferred Stock (including shares of Common Stock received upon conversion or redemption of the Preferred Stock following foreclosure or Transfer in lieu of foreclosure on a Permitted Loan) mortgaged, hypothecated and/or pledged to secure the obligations of the borrower following an event of default under a Permitted Loan. Subject to the preceding provisions of clause (v), in the event that any lender or other creditor under a Permitted Loan transaction (including any agent or trustee on their behalf) or any Affiliate of the foregoing exercises any rights or remedies in respect of the Exchange Common Stock, Preferred Stock or the shares of Common Stock issuable or issued upon conversion of the Preferred Stock or any other collateral for any Permitted Loan, no lender, creditor, agent or trustee on their behalf or Affiliate of any of the foregoing (other than, for the avoidance of doubt, a Stockholder or its Affiliates) shall be entitled to any rights or have any obligations or be subject to any Transfer restrictions or limitations hereunder except and to the extent for those expressly provided for in this Agreement, or (vi) a Distribution Transaction.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Fully Participating Stockholder</w:t>
      </w:r>
      <w:r>
        <w:rPr>
          <w:rFonts w:ascii="Times New Roman" w:cs="Times New Roman" w:eastAsia="Times New Roman" w:hAnsi="Times New Roman"/>
          <w:sz w:val="20"/>
          <w:szCs w:val="20"/>
          <w:color w:val="auto"/>
        </w:rPr>
        <w:t>” shall have the meaning set forth in Section 4.2(a).</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government, political subdivision, governmental, administrative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supranational or multinational.</w:t>
      </w:r>
    </w:p>
    <w:p>
      <w:pPr>
        <w:spacing w:after="0" w:line="1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w:t>
      </w:r>
      <w:r>
        <w:rPr>
          <w:rFonts w:ascii="Times New Roman" w:cs="Times New Roman" w:eastAsia="Times New Roman" w:hAnsi="Times New Roman"/>
          <w:sz w:val="20"/>
          <w:szCs w:val="20"/>
          <w:color w:val="auto"/>
        </w:rPr>
        <w:t>” means to make any short sale of, grant any option for the purchase of, or enter into any hedging or similar transaction with the same economic effect as a short sale of or the purpose of which is to offset the loss which results from a decline in the market price of, any Lock-Up Shares, or otherwise establish or increase, directly or indirectly, a put equivalent position, as defined in Rule 16a-1(h) under the Exchange Act, or enter into any derivative transactions with linked financing, with respect to any Lock-Up Shares.</w:t>
      </w:r>
    </w:p>
    <w:p>
      <w:pPr>
        <w:spacing w:after="0" w:line="19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20"/>
          <w:szCs w:val="20"/>
          <w:color w:val="auto"/>
        </w:rPr>
        <w:t>not assumed or become liable for the payment of such indebtedness, (with the amount of such indebtedness, in the case where the Person has not assumed or become liable for the payment of such indebtedness, equal to the lesser of (x) the outstanding principal amount of such indebtedness and (y) the fair market value of the assets securing such indebtedness) and (viii) all contingent obligations in respect of indebtedness of others of the kinds referred to in clauses (i) through (vii) above. For the avoidance of doubt, the one-time payment described in Section 5(h) of the Exchange Agreements shall not be considered Indebtedness.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Independent Director</w:t>
      </w:r>
      <w:r>
        <w:rPr>
          <w:rFonts w:ascii="Times New Roman" w:cs="Times New Roman" w:eastAsia="Times New Roman" w:hAnsi="Times New Roman"/>
          <w:sz w:val="20"/>
          <w:szCs w:val="20"/>
          <w:color w:val="auto"/>
        </w:rPr>
        <w:t>” shall have the meaning set forth in Section 2.1(o).</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Industry Person</w:t>
      </w:r>
      <w:r>
        <w:rPr>
          <w:rFonts w:ascii="Times New Roman" w:cs="Times New Roman" w:eastAsia="Times New Roman" w:hAnsi="Times New Roman"/>
          <w:sz w:val="20"/>
          <w:szCs w:val="20"/>
          <w:color w:val="auto"/>
        </w:rPr>
        <w:t>” means the Persons set forth on Schedule 1 attached hereto.</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Issuer Agreement</w:t>
      </w:r>
      <w:r>
        <w:rPr>
          <w:rFonts w:ascii="Times New Roman" w:cs="Times New Roman" w:eastAsia="Times New Roman" w:hAnsi="Times New Roman"/>
          <w:sz w:val="20"/>
          <w:szCs w:val="20"/>
          <w:color w:val="auto"/>
        </w:rPr>
        <w:t>” shall have the meaning set forth in Section 6.16.</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Stock</w:t>
      </w:r>
      <w:r>
        <w:rPr>
          <w:rFonts w:ascii="Times New Roman" w:cs="Times New Roman" w:eastAsia="Times New Roman" w:hAnsi="Times New Roman"/>
          <w:sz w:val="20"/>
          <w:szCs w:val="20"/>
          <w:color w:val="auto"/>
        </w:rPr>
        <w:t>” shall have the meaning set forth in the Certificate of Designations.</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federal, national, state, county, municipal, provincial, local, foreign or multinational law, act, statute, constitution, common law, ordinance, code, decree, writ, order, judgment, injunction, rule, regulation, ruling or requirement issued, enacted, adopted, promulgated, implemented or otherwise put into effect by or under the authority of any Governmental Authority.</w:t>
      </w:r>
    </w:p>
    <w:p>
      <w:pPr>
        <w:spacing w:after="0" w:line="1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Legal Proceeding</w:t>
      </w:r>
      <w:r>
        <w:rPr>
          <w:rFonts w:ascii="Times New Roman" w:cs="Times New Roman" w:eastAsia="Times New Roman" w:hAnsi="Times New Roman"/>
          <w:sz w:val="20"/>
          <w:szCs w:val="20"/>
          <w:color w:val="auto"/>
        </w:rPr>
        <w:t>” means any claim, action, charge, lawsuit, litigation, audit, investigation, arbitration or other similar legal proceeding brought by or pending before any Governmental Authority, arbitrator or other tribunal.</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Leverage Ratio</w:t>
      </w:r>
      <w:r>
        <w:rPr>
          <w:rFonts w:ascii="Times New Roman" w:cs="Times New Roman" w:eastAsia="Times New Roman" w:hAnsi="Times New Roman"/>
          <w:sz w:val="20"/>
          <w:szCs w:val="20"/>
          <w:color w:val="auto"/>
        </w:rPr>
        <w:t>” means on any date of determination, the ratio of (x) Consolidated Total Net Debt on such date to (y) LTM Adjusted EBITDA. Each calculation of the Leverage Ratio hereunder shall be made on a Pro Forma Basis.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Liberty Broadband Director</w:t>
      </w:r>
      <w:r>
        <w:rPr>
          <w:rFonts w:ascii="Times New Roman" w:cs="Times New Roman" w:eastAsia="Times New Roman" w:hAnsi="Times New Roman"/>
          <w:sz w:val="20"/>
          <w:szCs w:val="20"/>
          <w:color w:val="auto"/>
        </w:rPr>
        <w:t>” means any director of the Company designated by the Liberty Broadband Stockholder in accordance with Section 2.1.</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Liberty Broadband Purchase Agreement</w:t>
      </w:r>
      <w:r>
        <w:rPr>
          <w:rFonts w:ascii="Times New Roman" w:cs="Times New Roman" w:eastAsia="Times New Roman" w:hAnsi="Times New Roman"/>
          <w:sz w:val="20"/>
          <w:szCs w:val="20"/>
          <w:color w:val="auto"/>
        </w:rPr>
        <w:t>” shall have the meaning set forth in the Recitals.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Liberty Broadband Stockholder</w:t>
      </w:r>
      <w:r>
        <w:rPr>
          <w:rFonts w:ascii="Times New Roman" w:cs="Times New Roman" w:eastAsia="Times New Roman" w:hAnsi="Times New Roman"/>
          <w:sz w:val="20"/>
          <w:szCs w:val="20"/>
          <w:color w:val="auto"/>
        </w:rPr>
        <w:t>” shall have the meaning set forth in the Preamble.</w:t>
      </w:r>
    </w:p>
    <w:p>
      <w:pPr>
        <w:spacing w:after="0" w:line="2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LTM Adjusted EBITDA</w:t>
      </w:r>
      <w:r>
        <w:rPr>
          <w:rFonts w:ascii="Times New Roman" w:cs="Times New Roman" w:eastAsia="Times New Roman" w:hAnsi="Times New Roman"/>
          <w:sz w:val="20"/>
          <w:szCs w:val="20"/>
          <w:color w:val="auto"/>
        </w:rPr>
        <w:t>” means Consolidated EBITDA for the period of four fiscal quarters ending on the last day of the most recent fiscal quarter for which financial statements are internally available.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Marketed Amount</w:t>
      </w:r>
      <w:r>
        <w:rPr>
          <w:rFonts w:ascii="Times New Roman" w:cs="Times New Roman" w:eastAsia="Times New Roman" w:hAnsi="Times New Roman"/>
          <w:sz w:val="20"/>
          <w:szCs w:val="20"/>
          <w:color w:val="auto"/>
        </w:rPr>
        <w:t>” shall have the meaning set forth in Section 3.3(b)(ii).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Marketed Transfer</w:t>
      </w:r>
      <w:r>
        <w:rPr>
          <w:rFonts w:ascii="Times New Roman" w:cs="Times New Roman" w:eastAsia="Times New Roman" w:hAnsi="Times New Roman"/>
          <w:sz w:val="20"/>
          <w:szCs w:val="20"/>
          <w:color w:val="auto"/>
        </w:rPr>
        <w:t>” shall have the meaning set forth in Section 3.1(a).</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Marketing Notice</w:t>
      </w:r>
      <w:r>
        <w:rPr>
          <w:rFonts w:ascii="Times New Roman" w:cs="Times New Roman" w:eastAsia="Times New Roman" w:hAnsi="Times New Roman"/>
          <w:sz w:val="20"/>
          <w:szCs w:val="20"/>
          <w:color w:val="auto"/>
        </w:rPr>
        <w:t>” shall have the meaning set forth in Section 3.3(b)(ii).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Marketing Terms</w:t>
      </w:r>
      <w:r>
        <w:rPr>
          <w:rFonts w:ascii="Times New Roman" w:cs="Times New Roman" w:eastAsia="Times New Roman" w:hAnsi="Times New Roman"/>
          <w:sz w:val="20"/>
          <w:szCs w:val="20"/>
          <w:color w:val="auto"/>
        </w:rPr>
        <w:t>” shall have the meaning set forth in Section 3.3(b)(ii).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Patent Terms</w:t>
      </w:r>
      <w:r>
        <w:rPr>
          <w:rFonts w:ascii="Times New Roman" w:cs="Times New Roman" w:eastAsia="Times New Roman" w:hAnsi="Times New Roman"/>
          <w:sz w:val="20"/>
          <w:szCs w:val="20"/>
          <w:color w:val="auto"/>
        </w:rPr>
        <w:t>” shall have the meaning set forth in Section 6.1(b)(i).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58" w:name="page59"/>
    <w:bookmarkEnd w:id="58"/>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Terms</w:t>
      </w:r>
      <w:r>
        <w:rPr>
          <w:rFonts w:ascii="Times New Roman" w:cs="Times New Roman" w:eastAsia="Times New Roman" w:hAnsi="Times New Roman"/>
          <w:sz w:val="20"/>
          <w:szCs w:val="20"/>
          <w:color w:val="auto"/>
        </w:rPr>
        <w:t>” shall have the meaning set forth in Section 3.3(a)(i).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Non-Transferring Stockholder</w:t>
      </w:r>
      <w:r>
        <w:rPr>
          <w:rFonts w:ascii="Times New Roman" w:cs="Times New Roman" w:eastAsia="Times New Roman" w:hAnsi="Times New Roman"/>
          <w:sz w:val="20"/>
          <w:szCs w:val="20"/>
          <w:color w:val="auto"/>
        </w:rPr>
        <w:t>” shall have the meaning set forth in Section 3.3(a)(i).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Observers</w:t>
      </w:r>
      <w:r>
        <w:rPr>
          <w:rFonts w:ascii="Times New Roman" w:cs="Times New Roman" w:eastAsia="Times New Roman" w:hAnsi="Times New Roman"/>
          <w:sz w:val="20"/>
          <w:szCs w:val="20"/>
          <w:color w:val="auto"/>
        </w:rPr>
        <w:t>” shall have the meaning set forth in Section 2.3(a).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Offeree</w:t>
      </w:r>
      <w:r>
        <w:rPr>
          <w:rFonts w:ascii="Times New Roman" w:cs="Times New Roman" w:eastAsia="Times New Roman" w:hAnsi="Times New Roman"/>
          <w:sz w:val="20"/>
          <w:szCs w:val="20"/>
          <w:color w:val="auto"/>
        </w:rPr>
        <w:t>” shall have the meaning set forth in Section 4.2(a).</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Parity Stock</w:t>
      </w:r>
      <w:r>
        <w:rPr>
          <w:rFonts w:ascii="Times New Roman" w:cs="Times New Roman" w:eastAsia="Times New Roman" w:hAnsi="Times New Roman"/>
          <w:sz w:val="20"/>
          <w:szCs w:val="20"/>
          <w:color w:val="auto"/>
        </w:rPr>
        <w:t>” shall have the meaning set forth in the Certificate of Designations.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Stockholders</w:t>
      </w:r>
      <w:r>
        <w:rPr>
          <w:rFonts w:ascii="Times New Roman" w:cs="Times New Roman" w:eastAsia="Times New Roman" w:hAnsi="Times New Roman"/>
          <w:sz w:val="20"/>
          <w:szCs w:val="20"/>
          <w:color w:val="auto"/>
        </w:rPr>
        <w:t>” shall have the meaning set forth in Section 4.2(a).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ROFO Notice</w:t>
      </w:r>
      <w:r>
        <w:rPr>
          <w:rFonts w:ascii="Times New Roman" w:cs="Times New Roman" w:eastAsia="Times New Roman" w:hAnsi="Times New Roman"/>
          <w:sz w:val="20"/>
          <w:szCs w:val="20"/>
          <w:color w:val="auto"/>
        </w:rPr>
        <w:t>” shall have the meaning set forth in Section 6.1(a)(i).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 ROFR Notice</w:t>
      </w:r>
      <w:r>
        <w:rPr>
          <w:rFonts w:ascii="Times New Roman" w:cs="Times New Roman" w:eastAsia="Times New Roman" w:hAnsi="Times New Roman"/>
          <w:sz w:val="20"/>
          <w:szCs w:val="20"/>
          <w:color w:val="auto"/>
        </w:rPr>
        <w:t>” shall have the meaning set forth in Section 6.1(b)(i).</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shall have the meaning set forth in Section 6.1(a).</w:t>
      </w:r>
    </w:p>
    <w:p>
      <w:pPr>
        <w:spacing w:after="0" w:line="24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Loan</w:t>
      </w:r>
      <w:r>
        <w:rPr>
          <w:rFonts w:ascii="Times New Roman" w:cs="Times New Roman" w:eastAsia="Times New Roman" w:hAnsi="Times New Roman"/>
          <w:sz w:val="20"/>
          <w:szCs w:val="20"/>
          <w:color w:val="auto"/>
        </w:rPr>
        <w:t>” means a total return swap or bona fide loan (including a purpose (margin) or non purpose loan) or other financing arrangement, in each case entered into with a nationally recognized financial institution, including a pledge to such a financial institution to secure such financing.</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Transferees</w:t>
      </w:r>
      <w:r>
        <w:rPr>
          <w:rFonts w:ascii="Times New Roman" w:cs="Times New Roman" w:eastAsia="Times New Roman" w:hAnsi="Times New Roman"/>
          <w:sz w:val="20"/>
          <w:szCs w:val="20"/>
          <w:color w:val="auto"/>
        </w:rPr>
        <w:t>” means (i) any Affiliate of a Stockholder, including an affiliated investment fund, co-investment vehicle or aggregator vehicle (or equivalent) controlled, managed or advised by such Stockholder or an Affiliate of such Stockholder and (ii) transferees pursuant to Transfers by virtue of laws of the state of the entity’s organization and the entity’s organizational documents upon dissolution of the entity.</w:t>
      </w:r>
    </w:p>
    <w:p>
      <w:pPr>
        <w:spacing w:after="0" w:line="20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Preemptive Percentage</w:t>
      </w:r>
      <w:r>
        <w:rPr>
          <w:rFonts w:ascii="Times New Roman" w:cs="Times New Roman" w:eastAsia="Times New Roman" w:hAnsi="Times New Roman"/>
          <w:sz w:val="20"/>
          <w:szCs w:val="20"/>
          <w:color w:val="auto"/>
        </w:rPr>
        <w:t>” shall have the meaning set forth in Section 4.2(a).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Stock</w:t>
      </w:r>
      <w:r>
        <w:rPr>
          <w:rFonts w:ascii="Times New Roman" w:cs="Times New Roman" w:eastAsia="Times New Roman" w:hAnsi="Times New Roman"/>
          <w:sz w:val="20"/>
          <w:szCs w:val="20"/>
          <w:color w:val="auto"/>
        </w:rPr>
        <w:t>” shall have the meaning set forth in the Recitals.</w:t>
      </w:r>
    </w:p>
    <w:p>
      <w:pPr>
        <w:spacing w:after="0" w:line="2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Stock Ownership</w:t>
      </w:r>
      <w:r>
        <w:rPr>
          <w:rFonts w:ascii="Times New Roman" w:cs="Times New Roman" w:eastAsia="Times New Roman" w:hAnsi="Times New Roman"/>
          <w:sz w:val="20"/>
          <w:szCs w:val="20"/>
          <w:color w:val="auto"/>
        </w:rPr>
        <w:t>” means, with respect to each of the Stockholders, the number of shares of Preferred Stock (or Common Stock issued or issuable in respect of such Preferred Stock) held by such Stockholder as of the Closing Date after giving effect to the Exchange, in each case as equitably adjusted for any stock split, reverse stock split, combination, recapitalization or similar event with respect to the Preferred Stock or Common Stock, as applicable, occurring subsequent to the Closing Date.</w:t>
      </w:r>
    </w:p>
    <w:p>
      <w:pPr>
        <w:spacing w:after="0" w:line="20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Forma Basis</w:t>
      </w:r>
      <w:r>
        <w:rPr>
          <w:rFonts w:ascii="Times New Roman" w:cs="Times New Roman" w:eastAsia="Times New Roman" w:hAnsi="Times New Roman"/>
          <w:sz w:val="20"/>
          <w:szCs w:val="20"/>
          <w:color w:val="auto"/>
        </w:rPr>
        <w:t>” means, with respect to any determination of Consolidated EBITDA or the Leverage Ratio hereunder, that the following transactions in connection therewith shall be deemed to have occurred as of the first day of the applicable period of measurement in such determination: (a) income statement items (whether positive or negative) attributable to the property or Person subject to such specified transaction, (b) any retirement or repayment of Indebtedness, (c) any Indebtedness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20"/>
          <w:szCs w:val="20"/>
          <w:color w:val="auto"/>
        </w:rPr>
        <w:t>incurred, acquired or assumed by the Company or any of its Subsidiaries in connection therewith and if such Indebtedness has a floating or formula rate, shall have an implied rate of interest for the applicable period for purposes of this definition determined by utilizing the rate that is or would be in effect with respect to such Indebtedness as at the relevant date of determination and (d) such calculation shall be made without regard to the netting of any cash proceeds of Indebtedness incurred by the Company or any of its Subsidiaries in connection with such transaction (but without limiting the pro forma effect of any use of proceeds of such cash proceeds (including the prepayment of Indebtedness with such cash proceeds)).</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Agreements</w:t>
      </w:r>
      <w:r>
        <w:rPr>
          <w:rFonts w:ascii="Times New Roman" w:cs="Times New Roman" w:eastAsia="Times New Roman" w:hAnsi="Times New Roman"/>
          <w:sz w:val="20"/>
          <w:szCs w:val="20"/>
          <w:color w:val="auto"/>
        </w:rPr>
        <w:t>” shall have the meaning set forth in the Recitals.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Distribution Transferee</w:t>
      </w:r>
      <w:r>
        <w:rPr>
          <w:rFonts w:ascii="Times New Roman" w:cs="Times New Roman" w:eastAsia="Times New Roman" w:hAnsi="Times New Roman"/>
          <w:sz w:val="20"/>
          <w:szCs w:val="20"/>
          <w:color w:val="auto"/>
        </w:rPr>
        <w:t>” means any Person that meets the following conditions: (a) such Person beneficially owns all or substantially all the Voting Stock of the Company owned by the Liberty Broadband Stockholder or such Person directly or indirectly owns a majority of the equity interests of such Person, (b) at the time of any transfer to it of Voting Stock, it is an Affiliate of the Liberty Broadband Stockholder and (c) prior to such transfer, it executes and delivers to the Company a written agreement reasonably satisfactory to the Company to be bound by and entitled to the benefits of this Agreement, prospectively, as contemplated by Section 3.5.</w:t>
      </w:r>
    </w:p>
    <w:p>
      <w:pPr>
        <w:spacing w:after="0" w:line="1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Stockholders</w:t>
      </w:r>
      <w:r>
        <w:rPr>
          <w:rFonts w:ascii="Times New Roman" w:cs="Times New Roman" w:eastAsia="Times New Roman" w:hAnsi="Times New Roman"/>
          <w:sz w:val="20"/>
          <w:szCs w:val="20"/>
          <w:color w:val="auto"/>
        </w:rPr>
        <w:t>” means any Stockholder that holds Preferred Stock (or Common Stock issued upon conversion of Preferred Stock) or Exchange Common Stock who is an “accredited investor” (within the meaning of Rule 501(a) promulgated by the Securities and Exchange Commission).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Qurate Stockholder</w:t>
      </w:r>
      <w:r>
        <w:rPr>
          <w:rFonts w:ascii="Times New Roman" w:cs="Times New Roman" w:eastAsia="Times New Roman" w:hAnsi="Times New Roman"/>
          <w:sz w:val="20"/>
          <w:szCs w:val="20"/>
          <w:color w:val="auto"/>
        </w:rPr>
        <w:t>” shall have the meaning set forth in the Recitals.</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Party Transaction</w:t>
      </w:r>
      <w:r>
        <w:rPr>
          <w:rFonts w:ascii="Times New Roman" w:cs="Times New Roman" w:eastAsia="Times New Roman" w:hAnsi="Times New Roman"/>
          <w:sz w:val="20"/>
          <w:szCs w:val="20"/>
          <w:color w:val="auto"/>
        </w:rPr>
        <w:t>” means any transaction between the Company or any of its Subsidiaries, on the one hand, and any Stockholder or any Person that is known by the Company to be an Affiliate of such Stockholder (excluding the Company or any of its Subsidiaries), on the other hand, except for (i) any Transfer or issuance of Capital Stock in accordance with Article III or Section 4.2 or (ii)</w:t>
      </w:r>
    </w:p>
    <w:p>
      <w:pPr>
        <w:spacing w:after="0" w:line="1" w:lineRule="exact"/>
        <w:rPr>
          <w:sz w:val="20"/>
          <w:szCs w:val="20"/>
          <w:color w:val="auto"/>
        </w:rPr>
      </w:pPr>
    </w:p>
    <w:p>
      <w:pPr>
        <w:jc w:val="both"/>
        <w:ind w:firstLine="8"/>
        <w:spacing w:after="0" w:line="251" w:lineRule="auto"/>
        <w:tabs>
          <w:tab w:leader="none" w:pos="33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agreement or arrangement entered into pursuant to the Exchange Agreements, (B) the Charter Commercial Agreements or any other transaction, agreement or arrangement expressly contemplated by the Charter Commercial Agreements, the Exchange, this Agreement or the Exchange Agreements and (C) any renewal or extension of any such transaction, agreement or arrangement pursuant to and in accordance with its terms (but expressly excluding any amendment, modification or supplement thereto).</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Person</w:t>
      </w:r>
      <w:r>
        <w:rPr>
          <w:rFonts w:ascii="Times New Roman" w:cs="Times New Roman" w:eastAsia="Times New Roman" w:hAnsi="Times New Roman"/>
          <w:sz w:val="20"/>
          <w:szCs w:val="20"/>
          <w:color w:val="auto"/>
        </w:rPr>
        <w:t>” means the Persons set forth on Schedule 2 attached hereto.</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have the meaning set forth in Section 3.3.</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ROFR Amount</w:t>
      </w:r>
      <w:r>
        <w:rPr>
          <w:rFonts w:ascii="Times New Roman" w:cs="Times New Roman" w:eastAsia="Times New Roman" w:hAnsi="Times New Roman"/>
          <w:sz w:val="20"/>
          <w:szCs w:val="20"/>
          <w:color w:val="auto"/>
        </w:rPr>
        <w:t>” shall have the meaning set forth in Section 3.3(a)(i).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United States Securities and Exchange Commission or any successor thereto.</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Selling Stockholder</w:t>
      </w:r>
      <w:r>
        <w:rPr>
          <w:rFonts w:ascii="Times New Roman" w:cs="Times New Roman" w:eastAsia="Times New Roman" w:hAnsi="Times New Roman"/>
          <w:sz w:val="20"/>
          <w:szCs w:val="20"/>
          <w:color w:val="auto"/>
        </w:rPr>
        <w:t>” shall have the meaning set forth in Section 2.1(g).</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Stock</w:t>
      </w:r>
      <w:r>
        <w:rPr>
          <w:rFonts w:ascii="Times New Roman" w:cs="Times New Roman" w:eastAsia="Times New Roman" w:hAnsi="Times New Roman"/>
          <w:sz w:val="20"/>
          <w:szCs w:val="20"/>
          <w:color w:val="auto"/>
        </w:rPr>
        <w:t>” shall have the meaning set forth in the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60" w:name="page61"/>
    <w:bookmarkEnd w:id="60"/>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 means that certain order of the U.S. District Court, Southern District of New York, dated February 23, 2018, related to the settlement of shareholder derivative litigation against the Company.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Sold Entity or Business</w:t>
      </w:r>
      <w:r>
        <w:rPr>
          <w:rFonts w:ascii="Times New Roman" w:cs="Times New Roman" w:eastAsia="Times New Roman" w:hAnsi="Times New Roman"/>
          <w:sz w:val="20"/>
          <w:szCs w:val="20"/>
          <w:color w:val="auto"/>
        </w:rPr>
        <w:t>” shall have the meaning set forth in the definition of “Consolidated EBITDA”.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Sponsor</w:t>
      </w:r>
      <w:r>
        <w:rPr>
          <w:rFonts w:ascii="Times New Roman" w:cs="Times New Roman" w:eastAsia="Times New Roman" w:hAnsi="Times New Roman"/>
          <w:sz w:val="20"/>
          <w:szCs w:val="20"/>
          <w:color w:val="auto"/>
        </w:rPr>
        <w:t>” shall have the meaning set forth in Section 6.17.</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 xml:space="preserve">” shall have the meaning set forth in the Preamble;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“Stockholder” shall also mean, if any such Person shall have Transferred any of its shares of Preferred Stock or Common Stock to any of its Permitted Transferees (or any Permitted Transferee has acquired any Capital Stock pursuant to Section 3.3(e) or Section 4.2(g)), such Person and its Permitted Transferees, taken together, and any right, obligation or action that may be exercised or taken at the election of such Person may be taken at the election of such Person and its Permitted Transferees.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Stockholders Agreement</w:t>
      </w:r>
      <w:r>
        <w:rPr>
          <w:rFonts w:ascii="Times New Roman" w:cs="Times New Roman" w:eastAsia="Times New Roman" w:hAnsi="Times New Roman"/>
          <w:sz w:val="20"/>
          <w:szCs w:val="20"/>
          <w:color w:val="auto"/>
        </w:rPr>
        <w:t>” shall have the meaning set forth in the Recitals.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Patent Transaction</w:t>
      </w:r>
      <w:r>
        <w:rPr>
          <w:rFonts w:ascii="Times New Roman" w:cs="Times New Roman" w:eastAsia="Times New Roman" w:hAnsi="Times New Roman"/>
          <w:sz w:val="20"/>
          <w:szCs w:val="20"/>
          <w:color w:val="auto"/>
        </w:rPr>
        <w:t>” shall have the meaning set forth in Section 6.1(b).</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Subject Transaction</w:t>
      </w:r>
      <w:r>
        <w:rPr>
          <w:rFonts w:ascii="Times New Roman" w:cs="Times New Roman" w:eastAsia="Times New Roman" w:hAnsi="Times New Roman"/>
          <w:sz w:val="20"/>
          <w:szCs w:val="20"/>
          <w:color w:val="auto"/>
        </w:rPr>
        <w:t>” shall have the meaning set forth in Section 3.3(a).</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Subscription Agreements</w:t>
      </w:r>
      <w:r>
        <w:rPr>
          <w:rFonts w:ascii="Times New Roman" w:cs="Times New Roman" w:eastAsia="Times New Roman" w:hAnsi="Times New Roman"/>
          <w:sz w:val="20"/>
          <w:szCs w:val="20"/>
          <w:color w:val="auto"/>
        </w:rPr>
        <w:t>” shall have the meaning set forth in the Recitals.</w:t>
      </w:r>
    </w:p>
    <w:p>
      <w:pPr>
        <w:spacing w:after="0" w:line="25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corporation of which a majority of the total voting power of shares of stock entitled to vote in the election of directors, managers or trustees thereof is at the time owned or controlled, directly or indirectly, by such Person or one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or more Subsidiaries of such Person or a combination thereof. For purposes of this definition, a Person is deemed to have a majority ownership interest in a partnership, association or other business entity if such Person is allocated a majority of the gains or losses of such partnership, association or other business entity or is or controls the managing director, managing member or general (or equivalent) partner of such partnership, association or other business entity.</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means, collectively, (i) transfer, sell, hypothecate, pledge, grant any option to purchase or otherwise dispose of any shares of Exchange Common Stock or Preferred Stock issued to a Stockholder in the Exchange or acquired from another Stockholder, including any shares of Common Stock issued or issuable upon conversion of any shares of Preferred Stock in accordance with the Certificate of Designations (“Lock-Up Shares”), (ii) enter into any swap or other arrangement that transfers to another, in whole or in part, any of the economic consequences of ownership of any of, or Hedge, such Lock-Up Shares, whether any such transaction is to be settled by delivery of such securities, or otherwise, other than any entry into a cash-settled Hedge, and (iii) publicly announce any intention to effect any transaction specified in clause (i) or (ii).</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have the meaning set forth in Section 3.3(a)(i).</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Transferring Stockholder</w:t>
      </w:r>
      <w:r>
        <w:rPr>
          <w:rFonts w:ascii="Times New Roman" w:cs="Times New Roman" w:eastAsia="Times New Roman" w:hAnsi="Times New Roman"/>
          <w:sz w:val="20"/>
          <w:szCs w:val="20"/>
          <w:color w:val="auto"/>
        </w:rPr>
        <w:t>” shall have the meaning set forth in Section 3.3(a)(i).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61" w:name="page62"/>
    <w:bookmarkEnd w:id="61"/>
    <w:p>
      <w:pPr>
        <w:spacing w:after="0" w:line="21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Unaffiliated Director</w:t>
      </w:r>
      <w:r>
        <w:rPr>
          <w:rFonts w:ascii="Times New Roman" w:cs="Times New Roman" w:eastAsia="Times New Roman" w:hAnsi="Times New Roman"/>
          <w:sz w:val="20"/>
          <w:szCs w:val="20"/>
          <w:color w:val="auto"/>
        </w:rPr>
        <w:t>” shall mean a director that is not (i) a Charter Director, a Liberty Broadband Director, a Cerberus Director or an Additional Director or (ii) for so long as the Charter Stockholder, the Liberty Broadband Stockholder or the Cerberus Stockholder has the ability to designate at least one director pursuant to this Agreement, an individual who is an Affiliate of such Charter Stockholder, Liberty Broadband Stockholder or Cerberus Stockholder.</w:t>
      </w:r>
    </w:p>
    <w:p>
      <w:pPr>
        <w:spacing w:after="0" w:line="1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Stock</w:t>
      </w:r>
      <w:r>
        <w:rPr>
          <w:rFonts w:ascii="Times New Roman" w:cs="Times New Roman" w:eastAsia="Times New Roman" w:hAnsi="Times New Roman"/>
          <w:sz w:val="20"/>
          <w:szCs w:val="20"/>
          <w:color w:val="auto"/>
        </w:rPr>
        <w:t>” means (i) with respect to the Company, the Common Stock, the Preferred Stock and any other Capital Stock of the Company having the right to vote generally in any election of directors of the Board and (ii) with respect to any other Person, all Capital Stock of such Person having the right to vote generally in any election of directors of the board of directors of such Person or other similar governing body.</w:t>
      </w:r>
    </w:p>
    <w:p>
      <w:pPr>
        <w:spacing w:after="0" w:line="20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GOVERNANCE AND VOTING MATTERS</w:t>
      </w:r>
    </w:p>
    <w:p>
      <w:pPr>
        <w:spacing w:after="0" w:line="230"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2.1</w:t>
      </w:r>
      <w:r>
        <w:rPr>
          <w:sz w:val="20"/>
          <w:szCs w:val="20"/>
          <w:color w:val="auto"/>
        </w:rPr>
        <w:tab/>
      </w:r>
      <w:r>
        <w:rPr>
          <w:rFonts w:ascii="Times New Roman" w:cs="Times New Roman" w:eastAsia="Times New Roman" w:hAnsi="Times New Roman"/>
          <w:sz w:val="19"/>
          <w:szCs w:val="19"/>
          <w:b w:val="1"/>
          <w:bCs w:val="1"/>
          <w:u w:val="single" w:color="auto"/>
          <w:color w:val="auto"/>
        </w:rPr>
        <w:t>Designees.</w:t>
      </w:r>
    </w:p>
    <w:p>
      <w:pPr>
        <w:spacing w:after="0" w:line="260" w:lineRule="exact"/>
        <w:rPr>
          <w:sz w:val="20"/>
          <w:szCs w:val="20"/>
          <w:color w:val="auto"/>
        </w:rPr>
      </w:pPr>
    </w:p>
    <w:p>
      <w:pPr>
        <w:jc w:val="both"/>
        <w:ind w:firstLine="656"/>
        <w:spacing w:after="0" w:line="249" w:lineRule="auto"/>
        <w:tabs>
          <w:tab w:leader="none" w:pos="11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take all necessary action to ensure that, immediately after the Closing Date, (i) the size of the Board shall be set at seven (7) directors and shall initially consist of the following seven (7) directors: Jon Carpenter, Bob Davenport, David Kline, Bill Livek, Matt McLaughlin, Jeff Murphy and Brian Wendling (the “</w:t>
      </w:r>
      <w:r>
        <w:rPr>
          <w:rFonts w:ascii="Times New Roman" w:cs="Times New Roman" w:eastAsia="Times New Roman" w:hAnsi="Times New Roman"/>
          <w:sz w:val="20"/>
          <w:szCs w:val="20"/>
          <w:b w:val="1"/>
          <w:bCs w:val="1"/>
          <w:color w:val="auto"/>
        </w:rPr>
        <w:t>Initial Directors</w:t>
      </w:r>
      <w:r>
        <w:rPr>
          <w:rFonts w:ascii="Times New Roman" w:cs="Times New Roman" w:eastAsia="Times New Roman" w:hAnsi="Times New Roman"/>
          <w:sz w:val="20"/>
          <w:szCs w:val="20"/>
          <w:color w:val="auto"/>
        </w:rPr>
        <w:t xml:space="preserve">”), (ii) the audit committee of the Board shall initially consist of the following directors: David Kline, Matt McLaughlin and Jeff Murphy, (iii) the compensation committee of the Board shall initially consist of the following directors: Bob Davenport, David Kline, Matt McLaughlin and Brian Wendling, (iv) the nominating and governance committee of the Board shall initially consist of the following directors: Bob Davenport, Matt McLaughlin, Jeff Murphy and Brian Wendling, and (v) David Kline shall serve as the Chair of the Board. Of the Initial Directors, Jeff Murphy is deemed to be the Charter Director, Brian Wendling is deemed to be the Liberty Broadband Director, Bob Davenport is deemed to be the Cerberus Director, David Kline is deemed to be the Additional Director and Jon Carpenter, Bill Livek and Matt McLaughlin are deemed to be Unaffiliated Directors. From and after the Closing Date, the rights of the Stockholders to designate directors to the Board and its committees shall be as set forth in the remainder of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22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such time as the Charter Stockholder beneficially owns Voting Stock representing less than 7.5% of the outstanding shares of Common Stock (on an as-converted basis), the Company will take all necessary action (to the extent not prohibited by applicable law) to cause the Board to nominate for election at each annual or special meeting of stockholders at which directors are to be elected that number of individuals designated by the Charter Stockholder that, if elected, would result in one (1) Charter Director serving on the Board and shall support the Charter Director for election in a manner no less rigorous and favorable than the manner in which the Company supports the other nominees, and, if any such individual is not so elected, cause such individual to be promptly appointed as a director.</w:t>
      </w:r>
    </w:p>
    <w:p>
      <w:pPr>
        <w:spacing w:after="0" w:line="21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such time as the Liberty Broadband Stockholder beneficially owns Voting Stock representing less than 7.5% of the outstanding shares of Common Stock (on an as-converted basis), the Company will take all necessary action (to the extent not prohibited by applicable law) to cause the Board to nominate for election at each annual or special meeting of stockholders at which directors are to be elected that number of individuals designated by the Liberty Broadband Stockholder that, if elected, would result in one (1) Liberty Broadband Director serving on the Board and shall support the Liberty Broadband Director for election in a manner no less rigorous and favorable than the manner in which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4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color w:val="auto"/>
        </w:rPr>
        <w:t>Company supports the other nominees, and, if such individual is not so elected, cause such individual to be promptly appointed as a director.</w:t>
      </w:r>
    </w:p>
    <w:p>
      <w:pPr>
        <w:spacing w:after="0" w:line="268" w:lineRule="exact"/>
        <w:rPr>
          <w:sz w:val="20"/>
          <w:szCs w:val="20"/>
          <w:color w:val="auto"/>
        </w:rPr>
      </w:pPr>
    </w:p>
    <w:p>
      <w:pPr>
        <w:jc w:val="both"/>
        <w:ind w:firstLine="656"/>
        <w:spacing w:after="0" w:line="269" w:lineRule="auto"/>
        <w:tabs>
          <w:tab w:leader="none" w:pos="121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such time as the Cerberus Stockholder beneficially owns Voting Stock representing less than 7.5% of the outstanding shares of Common Stock (on an as-converted basis), the Company will take all necessary action (to the extent not prohibited by applicable law) to cause the Board to nominate for election at each annual or special meeting of stockholders at which directors are to be elected that number of individuals designated by the Cerberus Stockholder that, if elected, would result in one (1) Cerberus Director serving on the Board and shall support the Cerberus Director for election in a manner no less rigorous and favorable than the manner in which the Company supports the other nominees, and, if such individual is not so elected, cause such individual to be promptly appointed as a director.</w:t>
      </w:r>
    </w:p>
    <w:p>
      <w:pPr>
        <w:spacing w:after="0" w:line="191" w:lineRule="exact"/>
        <w:rPr>
          <w:rFonts w:ascii="Times New Roman" w:cs="Times New Roman" w:eastAsia="Times New Roman" w:hAnsi="Times New Roman"/>
          <w:sz w:val="19"/>
          <w:szCs w:val="19"/>
          <w:color w:val="auto"/>
        </w:rPr>
      </w:pPr>
    </w:p>
    <w:p>
      <w:pPr>
        <w:jc w:val="both"/>
        <w:ind w:firstLine="656"/>
        <w:spacing w:after="0" w:line="252" w:lineRule="auto"/>
        <w:tabs>
          <w:tab w:leader="none" w:pos="113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such time as the Charter Stockholder, the Liberty Broadband Stockholder and the Cerberus Stockholder beneficially own Voting Stock representing (in aggregate) less than 22.5% of the outstanding shares of Common Stock (on an as-converted basis), the Company will take all necessary action (to the extent not prohibited by applicable law) to cause the Board to nominate for election at each annual or special meeting of stockholders at which directors are to be elected that number of individuals nominated by the Charter Stockholder, the Liberty Broadband Stockholder and the Cerberus Stockholder (or to the extent that any such Stockholder no longer owns Voting Stock representing at least 7.5% of the outstanding shares of Common Stock (on an as-converted basis), only such Stockholders that continue to own Voting Stock representing at least 7.5% of the outstanding shares of Common Stock (on an as-converted basis)) that, if elected, would result in one (1) Additional Director serving on the Board and shall support the Additional Director for election in a manner no less rigorous and favorable than the manner in which the Company supports the other nominees.</w:t>
      </w:r>
    </w:p>
    <w:p>
      <w:pPr>
        <w:spacing w:after="0" w:line="216" w:lineRule="exact"/>
        <w:rPr>
          <w:rFonts w:ascii="Times New Roman" w:cs="Times New Roman" w:eastAsia="Times New Roman" w:hAnsi="Times New Roman"/>
          <w:sz w:val="20"/>
          <w:szCs w:val="20"/>
          <w:color w:val="auto"/>
        </w:rPr>
      </w:pPr>
    </w:p>
    <w:p>
      <w:pPr>
        <w:jc w:val="both"/>
        <w:ind w:firstLine="656"/>
        <w:spacing w:after="0" w:line="251" w:lineRule="auto"/>
        <w:tabs>
          <w:tab w:leader="none" w:pos="114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Date, the Company shall not increase or decrease the size of the Board without the prior approval of a majority of the Unaffiliated Directors serving on the Board as of such time. The Company shall take all necessary action (to the extent not prohibited by applicable law) to cause the Board to (A) appoint or nominate an Unaffiliated Director for election to fill any vacancy created by (i) the death, disability, resignation or removal of an Unaffiliated Director or (ii) an increase in the size of the Board and (B) maintain a percentage of Unaffiliated Directors serving on the Board that is no less than the percentage of Unaffiliated Directors serving on the Board as of the Closing Date.</w:t>
      </w:r>
    </w:p>
    <w:p>
      <w:pPr>
        <w:spacing w:after="0" w:line="213" w:lineRule="exact"/>
        <w:rPr>
          <w:rFonts w:ascii="Times New Roman" w:cs="Times New Roman" w:eastAsia="Times New Roman" w:hAnsi="Times New Roman"/>
          <w:sz w:val="20"/>
          <w:szCs w:val="20"/>
          <w:color w:val="auto"/>
        </w:rPr>
      </w:pPr>
    </w:p>
    <w:p>
      <w:pPr>
        <w:jc w:val="both"/>
        <w:ind w:firstLine="656"/>
        <w:spacing w:after="0" w:line="251" w:lineRule="auto"/>
        <w:tabs>
          <w:tab w:leader="none" w:pos="139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any Stockholder (the “</w:t>
      </w:r>
      <w:r>
        <w:rPr>
          <w:rFonts w:ascii="Times New Roman" w:cs="Times New Roman" w:eastAsia="Times New Roman" w:hAnsi="Times New Roman"/>
          <w:sz w:val="20"/>
          <w:szCs w:val="20"/>
          <w:b w:val="1"/>
          <w:bCs w:val="1"/>
          <w:color w:val="auto"/>
        </w:rPr>
        <w:t>Buying Stockholder</w:t>
      </w:r>
      <w:r>
        <w:rPr>
          <w:rFonts w:ascii="Times New Roman" w:cs="Times New Roman" w:eastAsia="Times New Roman" w:hAnsi="Times New Roman"/>
          <w:sz w:val="20"/>
          <w:szCs w:val="20"/>
          <w:color w:val="auto"/>
        </w:rPr>
        <w:t>”) acquires 100% of one of the other Stockholder’s (the “</w:t>
      </w:r>
      <w:r>
        <w:rPr>
          <w:rFonts w:ascii="Times New Roman" w:cs="Times New Roman" w:eastAsia="Times New Roman" w:hAnsi="Times New Roman"/>
          <w:sz w:val="20"/>
          <w:szCs w:val="20"/>
          <w:b w:val="1"/>
          <w:bCs w:val="1"/>
          <w:color w:val="auto"/>
        </w:rPr>
        <w:t>Selling Stockholder</w:t>
      </w:r>
      <w:r>
        <w:rPr>
          <w:rFonts w:ascii="Times New Roman" w:cs="Times New Roman" w:eastAsia="Times New Roman" w:hAnsi="Times New Roman"/>
          <w:sz w:val="20"/>
          <w:szCs w:val="20"/>
          <w:color w:val="auto"/>
        </w:rPr>
        <w:t>”) Preferred Stock Ownership and Exchange Common Stock Ownership (including pursuant to the exercise of a Right of First Refusal), the Selling Stockholder shall take all necessary action to cause the Director designated by the Selling Stockholder to resign from the Board immediately upon the closing of such acquisition, and the Company shall, as promptly as is reasonably practicable, take all necessary action (to the extent not prohibited by applicable law) to cause the Board to appoint one (1) additional Person designated by the Buying Stockholder to fill such newly created vacancy and thereafter, until such time as the Buying Stockholder beneficially owns a number of shares of Voting Stock (disregarding the shares of Voting Stock beneficially owned by the Buying Stockholder immediately prior to such transaction) representing less than 7.5% of the outstanding shares of Common Stock (on an as-converted basis), the Company will take all necessary action (to the extent not prohibited by applicable law) to cause the Board to nominate for election at each annual or special meeting of stockholders at which directors are to be elected that number of individuals designated by the Buying Stockholder that, if elected, would result in one (1) additional Director designated by the Buying Stockholder serving on the Board and, if any such individual is not so elected, cause such individual to be promptly appointed as a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63" w:name="page64"/>
    <w:bookmarkEnd w:id="63"/>
    <w:p>
      <w:pPr>
        <w:spacing w:after="0" w:line="216" w:lineRule="exact"/>
        <w:rPr>
          <w:sz w:val="20"/>
          <w:szCs w:val="20"/>
          <w:color w:val="auto"/>
        </w:rPr>
      </w:pPr>
    </w:p>
    <w:p>
      <w:pPr>
        <w:ind w:firstLine="656"/>
        <w:spacing w:after="0" w:line="283" w:lineRule="auto"/>
        <w:tabs>
          <w:tab w:leader="none" w:pos="112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elsewhere herein, in no event shall a Stockholder be entitled to designate or nominate a number of directors to the Board that would constitute a majority of the Board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firstLine="656"/>
        <w:spacing w:after="0" w:line="257" w:lineRule="auto"/>
        <w:tabs>
          <w:tab w:leader="none" w:pos="127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applicable laws, stock exchange regulations and the Settlement, for so long as the Charter Stockholder beneficially owns Voting Stock representing at least 7.5% of the outstanding shares of Common Stock (on an as-converted basis), the Company will take all necessary action (to the extent not prohibited by applicable law) to cause the Board to appoint (i) the Charter Director to serve on the compensation committee of the Board and (ii) the Charter Director to serve on the nominating and governance committee of the Board.</w:t>
      </w:r>
    </w:p>
    <w:p>
      <w:pPr>
        <w:spacing w:after="0" w:line="199" w:lineRule="exact"/>
        <w:rPr>
          <w:rFonts w:ascii="Times New Roman" w:cs="Times New Roman" w:eastAsia="Times New Roman" w:hAnsi="Times New Roman"/>
          <w:sz w:val="20"/>
          <w:szCs w:val="20"/>
          <w:color w:val="auto"/>
        </w:rPr>
      </w:pPr>
    </w:p>
    <w:p>
      <w:pPr>
        <w:jc w:val="both"/>
        <w:ind w:firstLine="656"/>
        <w:spacing w:after="0" w:line="257" w:lineRule="auto"/>
        <w:tabs>
          <w:tab w:leader="none" w:pos="127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applicable laws, stock exchange regulations and the Settlement, for so long as the Liberty Broadband Stockholder beneficially owns Voting Stock representing at least 7.5% of the outstanding shares of Common Stock (on an as-converted basis), the Company will take all necessary action (to the extent not prohibited by applicable law) to cause the Board to appoint (i) the Liberty Broadband Director to serve on the compensation committee of the Board and (ii) the Liberty Broadband Director to serve on the nominating and governance committee of the Board.</w:t>
      </w:r>
    </w:p>
    <w:p>
      <w:pPr>
        <w:spacing w:after="0" w:line="199" w:lineRule="exact"/>
        <w:rPr>
          <w:rFonts w:ascii="Times New Roman" w:cs="Times New Roman" w:eastAsia="Times New Roman" w:hAnsi="Times New Roman"/>
          <w:sz w:val="20"/>
          <w:szCs w:val="20"/>
          <w:color w:val="auto"/>
        </w:rPr>
      </w:pPr>
    </w:p>
    <w:p>
      <w:pPr>
        <w:jc w:val="both"/>
        <w:ind w:firstLine="656"/>
        <w:spacing w:after="0" w:line="257" w:lineRule="auto"/>
        <w:tabs>
          <w:tab w:leader="none" w:pos="127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compliance with applicable laws, stock exchange regulations and the Settlement, for so long as the Cerberus Stockholder beneficially owns Voting Stock representing at least 7.5% of the outstanding shares of Common Stock (on an as-converted basis), the Company will take all necessary action (to the extent not prohibited by applicable law) to cause the Board to appoint (i) the Cerberus Director to serve on the compensation committee of the Board and (ii) the Cerberus Director to serve on the nominating and governance committee of the Board.</w:t>
      </w:r>
    </w:p>
    <w:p>
      <w:pPr>
        <w:spacing w:after="0" w:line="199" w:lineRule="exact"/>
        <w:rPr>
          <w:rFonts w:ascii="Times New Roman" w:cs="Times New Roman" w:eastAsia="Times New Roman" w:hAnsi="Times New Roman"/>
          <w:sz w:val="20"/>
          <w:szCs w:val="20"/>
          <w:color w:val="auto"/>
        </w:rPr>
      </w:pPr>
    </w:p>
    <w:p>
      <w:pPr>
        <w:jc w:val="both"/>
        <w:ind w:firstLine="656"/>
        <w:spacing w:after="0" w:line="276" w:lineRule="auto"/>
        <w:tabs>
          <w:tab w:leader="none" w:pos="1272"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compliance with applicable laws, stock exchange regulations and the Settlement, for so long as the Charter Stockholder, the Liberty Broadband Stockholder and the Cerberus Stockholder beneficially own Voting Stock representing (in aggregate) at least 22.5% of the outstanding shares of Common Stock (on an as-converted basis), the Company will take all necessary action (to the extent not prohibited by applicable law) to cause the Board to designate the Additional Director as the Chair of the Board unless otherwise agreed.</w:t>
      </w:r>
    </w:p>
    <w:p>
      <w:pPr>
        <w:spacing w:after="0" w:line="183" w:lineRule="exact"/>
        <w:rPr>
          <w:rFonts w:ascii="Times New Roman" w:cs="Times New Roman" w:eastAsia="Times New Roman" w:hAnsi="Times New Roman"/>
          <w:sz w:val="19"/>
          <w:szCs w:val="19"/>
          <w:color w:val="auto"/>
        </w:rPr>
      </w:pPr>
    </w:p>
    <w:p>
      <w:pPr>
        <w:jc w:val="both"/>
        <w:ind w:firstLine="656"/>
        <w:spacing w:after="0" w:line="253" w:lineRule="auto"/>
        <w:tabs>
          <w:tab w:leader="none" w:pos="11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Stockholder has nominated fewer than the total number of designees that the Stockholder shall be entitled to nominate to the Board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then such Stockholder shall have the right, at any time and from time to time, to nominate such additional designee(s) to which it is entitled, in which case, the Company shall, as promptly as is reasonably practicable, take all necessary action (to the extent not prohibited by applicable law) to cause the Board to (x) increase the size of the Board as required to enable such Stockholder to so nominate such additional designee(s), and (y) appoint such additional designees nominated by such Stockholder to fill such newly created vacancy or vacancies, as applicable.</w:t>
      </w:r>
    </w:p>
    <w:p>
      <w:pPr>
        <w:spacing w:after="0" w:line="21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Charter Stockholder may cause the Charter Director to resign (with or without cause) from time to time and at any time upon notice to the Company, the Liberty Broadband Stockholder may cause the Liberty Broadband Director to resign (with or without cause) from time to time and at any time upon notice to the Company, and the Cerberus Director may cause the Cerberus Director to resign (with or without cause) from time to time and at any time upon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64" w:name="page65"/>
    <w:bookmarkEnd w:id="64"/>
    <w:p>
      <w:pPr>
        <w:jc w:val="both"/>
        <w:ind w:firstLine="656"/>
        <w:spacing w:after="0" w:line="251" w:lineRule="auto"/>
        <w:tabs>
          <w:tab w:leader="none" w:pos="118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vacancy is created on the Board by the death, disability, resignation or removal of a Director, the relevant Stockholder that designated such Director shall be entitled to designate an individual to fill the vacancy so long as (i) the total number of such Stockholder’s Directors serving on the Board immediately following the filling of such vacancy will not exceed the total number of Persons such Stockholder is entitled to designate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on the date of such replacement designation and (ii) the replacement designee (A) will, if the departing Director being replaced qualified as independent within the meaning of Nasdaq Rule 5605(a) as of his or her departure (an “</w:t>
      </w:r>
      <w:r>
        <w:rPr>
          <w:rFonts w:ascii="Times New Roman" w:cs="Times New Roman" w:eastAsia="Times New Roman" w:hAnsi="Times New Roman"/>
          <w:sz w:val="20"/>
          <w:szCs w:val="20"/>
          <w:b w:val="1"/>
          <w:bCs w:val="1"/>
          <w:color w:val="auto"/>
        </w:rPr>
        <w:t>Independent Director</w:t>
      </w:r>
      <w:r>
        <w:rPr>
          <w:rFonts w:ascii="Times New Roman" w:cs="Times New Roman" w:eastAsia="Times New Roman" w:hAnsi="Times New Roman"/>
          <w:sz w:val="20"/>
          <w:szCs w:val="20"/>
          <w:color w:val="auto"/>
        </w:rPr>
        <w:t>”), qualify as an Independent Director and (B) does not serve on the board of directors or as an officer of an Industry Person. The Company shall, as promptly as is reasonably practicable, take all necessary action (to the extent not prohibited by applicable law) to cause such replacement designee to become a member of the Board.</w:t>
      </w:r>
    </w:p>
    <w:p>
      <w:pPr>
        <w:spacing w:after="0" w:line="22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4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agrees to take all necessary action (to the extent not prohibited by applicable law) to cause the Board to include in the slate of nominees recommended by the Board for election at any meeting of stockholders called for the purpose of electing directors each individual designated by a Stockholder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(to the extent that directors of such nominee’s class are to be elected at such meeting for so long as the Board is classified) and to nominate and recommend each such individual to be elected as a director as provided herein, and to solicit proxies or consents in favor thereof. The Company is entitled to identify such individual(s) as Charter Director, Liberty Broadband Director, Cerberus Director or Additional Director, as applicable, pursuant to this Agreement. The Company shall support each Charter Director, Liberty Broadband Director, Cerberus Director and Additional Director for election in a manner no less rigorous and favorable than the manner in which the Company supports the other nominees.</w:t>
      </w:r>
    </w:p>
    <w:p>
      <w:pPr>
        <w:spacing w:after="0" w:line="218"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firstLine="656"/>
        <w:spacing w:after="0" w:line="249" w:lineRule="auto"/>
        <w:tabs>
          <w:tab w:leader="none" w:pos="117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 Stockholder beneficially owns Voting Stock representing at least 5% of the outstanding shares of Common Stock on an as-converted basis, each Stockholder agrees to vote, or provide a written consent or proxy with respect to, its Voting Stock, and to cause such Stockholder’s Permitted Transferees that become a party to this Agreement to vote, or provide a written consent or proxy with respect to, their Voting Stock, in each case in a neutral manner, in the election of any directors nominated by the Board, other than pursuant to any Stockholder’s right to designate or nominate such Director pursuant to the terms of this Agreement. In addition to the foregoing, each Stockholder agrees to vote, or provide a written consent or proxy with respect to, any issued and outstanding shares of Common Stock and Preferred Stock held by such Stockholder (or with respect to which such Stockholder has the power to vote) that represent voting power in excess of 49.99% of the total voting power of the Company in a neutral manner on all matters upon which such Stockholder is entitled to vote such shares of Common Stock and Preferred Stock. A “</w:t>
      </w:r>
      <w:r>
        <w:rPr>
          <w:rFonts w:ascii="Times New Roman" w:cs="Times New Roman" w:eastAsia="Times New Roman" w:hAnsi="Times New Roman"/>
          <w:sz w:val="20"/>
          <w:szCs w:val="20"/>
          <w:b w:val="1"/>
          <w:bCs w:val="1"/>
          <w:color w:val="auto"/>
        </w:rPr>
        <w:t>neutral manner</w:t>
      </w:r>
      <w:r>
        <w:rPr>
          <w:rFonts w:ascii="Times New Roman" w:cs="Times New Roman" w:eastAsia="Times New Roman" w:hAnsi="Times New Roman"/>
          <w:sz w:val="20"/>
          <w:szCs w:val="20"/>
          <w:color w:val="auto"/>
        </w:rPr>
        <w:t>” means in the same proportion as all other outstanding Common Stock of the Company (excluding any and all shares of Common Stock beneficially owned, directly or indirectly, by the Stockholders and their respective Permitted Transferees that become parties to this Agreement) voted on the relevant matters. Notwithstanding the foregoing, if a Stockholder has exhausted all commercially reasonable efforts to vote any issued and outstanding shares of Common Stock held by such Stockholder (or with respect to which such Stockholder has the power to vote) in a neutral manner in accordance with this Agreement but is unable to cast such vote neutrally, then instead of voting neutrally with respect thereto, such Stockholder shall be permitted to abstain from casting votes with respect to such shares of Common Stock on the relevant matter or matters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for the avoidance of doubt, that such Stockholder shall still be required to vote, or provide a written consent or proxy with respect to, its other Voting Stock in a neutral manner in accordance with this Agreement). For so long as this </w:t>
      </w:r>
      <w:r>
        <w:rPr>
          <w:rFonts w:ascii="Times New Roman" w:cs="Times New Roman" w:eastAsia="Times New Roman" w:hAnsi="Times New Roman"/>
          <w:sz w:val="20"/>
          <w:szCs w:val="20"/>
          <w:u w:val="single" w:color="auto"/>
          <w:color w:val="auto"/>
        </w:rPr>
        <w:t>Section 2.1(r)</w:t>
      </w:r>
      <w:r>
        <w:rPr>
          <w:rFonts w:ascii="Times New Roman" w:cs="Times New Roman" w:eastAsia="Times New Roman" w:hAnsi="Times New Roman"/>
          <w:sz w:val="20"/>
          <w:szCs w:val="20"/>
          <w:color w:val="auto"/>
        </w:rPr>
        <w:t xml:space="preserve"> applies to a Stockholder or its Permitted Transferee, each such Stockholder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and Permitted Transferee shall be deemed to irrevocably appoint as its proxy and attorney-in-fact, the Chief Executive Officer, the Chief Financial Officer and the General Counsel of the Company, each of them individually, with full power of substitution and resubstitution, to consent to or vote any shares of Voting Stock held by them in accordance with this </w:t>
      </w:r>
      <w:r>
        <w:rPr>
          <w:rFonts w:ascii="Times New Roman" w:cs="Times New Roman" w:eastAsia="Times New Roman" w:hAnsi="Times New Roman"/>
          <w:sz w:val="20"/>
          <w:szCs w:val="20"/>
          <w:u w:val="single" w:color="auto"/>
          <w:color w:val="auto"/>
        </w:rPr>
        <w:t>Section 2.1(r)</w:t>
      </w:r>
      <w:r>
        <w:rPr>
          <w:rFonts w:ascii="Times New Roman" w:cs="Times New Roman" w:eastAsia="Times New Roman" w:hAnsi="Times New Roman"/>
          <w:sz w:val="20"/>
          <w:szCs w:val="20"/>
          <w:color w:val="auto"/>
        </w:rPr>
        <w:t>. Moreover, upon the acquisition of shares of Preferred Stock, each Stockholder and Permitted Transferee shall be deemed to irrevocably appoint as its proxy and attorney-in-fact, the Chief Executive Officer, the Chief Financial Officer and the General Counsel of the Company, each of them individually, with full power of substitution and resubstitution, to consent to or vote any shares of Preferred Stock held by them in excess of the Voting Threshold (as defined in the Certificate of Designations) with respect to any matters that must be voted in a neutral manner under the Certificate of Designations. Each Stockholder and Permitted Transferee intends for any proxy described in this section to be irrevocable and unconditional and coupled with an interest and will take such further action or execute such other instruments as may be reasonably necessary to effect the intent of such proxy, and hereby revokes any proxy previously granted with respect hereto.</w:t>
      </w:r>
    </w:p>
    <w:p>
      <w:pPr>
        <w:spacing w:after="0" w:line="223" w:lineRule="exact"/>
        <w:rPr>
          <w:sz w:val="20"/>
          <w:szCs w:val="20"/>
          <w:color w:val="auto"/>
        </w:rPr>
      </w:pPr>
    </w:p>
    <w:p>
      <w:pPr>
        <w:jc w:val="both"/>
        <w:ind w:firstLine="656"/>
        <w:spacing w:after="0" w:line="250" w:lineRule="auto"/>
        <w:tabs>
          <w:tab w:leader="none" w:pos="117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any Charter Director, Liberty Broadband Director, Cerberus Director or the Additional Director is subject to a code of conduct by virtue of their service as a member of the Board, no such code of conduct shall (i) restrict any transfer of securities by the Stockholder designating such Director or its Affiliates (other than with respect to the Charter Director, Liberty Broadband Director, Cerberus Director or Additional Director, solely in his or her individual capacity) except as provided herein or as required by applicable law, (ii) impose confidentiality obligations on any such Director that would limit the ability of such Director to share information with the Stockholder designating such Director, (iii) impose any share ownership requirements for such Director or (iv) impose any additional obligations on the Stockholder designating such Director that would, in the case of clauses (i), (ii) and (iv), contravene or limit the rights of any Stockholder under this Agreement, the Certificate of Designations, the Exchange Agreements or any other document or agreement contemplated hereby or thereby, except as required by applicable laws, stock exchange regulations, background check policies or the Settlement with respect to restrictions on overboarding and requirements for interviews and a related party transactions policy and hedging and pledging policy. Notwithstanding anything in this </w:t>
      </w:r>
      <w:r>
        <w:rPr>
          <w:rFonts w:ascii="Times New Roman" w:cs="Times New Roman" w:eastAsia="Times New Roman" w:hAnsi="Times New Roman"/>
          <w:sz w:val="20"/>
          <w:szCs w:val="20"/>
          <w:u w:val="single" w:color="auto"/>
          <w:color w:val="auto"/>
        </w:rPr>
        <w:t>Section 2.1(s)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to the contrary, any equity securities or other equity-based compensation to which any Charter Director, Liberty Broadband Director or Cerberus Director is entitled in such Director’s capacity as a director of the Company may be (from issuance) Transferred by such Director to the Stockholder designating such Director or any Affiliate of such Stockholder, and the Company shall take all actions necessary to permit such Transfer.</w:t>
      </w:r>
    </w:p>
    <w:p>
      <w:pPr>
        <w:spacing w:after="0" w:line="210"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there is any event, transaction or circumstance that may result in any Stockholder, its Affiliates and/or the Director designated by such Stockholder being deemed to have made a disposition or acquisition of equity securities of the Company or derivatives thereof, to or from the Company, respectively, for purposes of Section 16 of the Exchange Act, and if such Director is serving on the Board at such time or has served on the Board at any time during the six (6) months preceding such event, transaction or circumstance, then if necessary in order to effectuate the exemptions described in this </w:t>
      </w:r>
      <w:r>
        <w:rPr>
          <w:rFonts w:ascii="Times New Roman" w:cs="Times New Roman" w:eastAsia="Times New Roman" w:hAnsi="Times New Roman"/>
          <w:sz w:val="20"/>
          <w:szCs w:val="20"/>
          <w:u w:val="single" w:color="auto"/>
          <w:color w:val="auto"/>
        </w:rPr>
        <w:t>Section 2.1(t)</w:t>
      </w:r>
      <w:r>
        <w:rPr>
          <w:rFonts w:ascii="Times New Roman" w:cs="Times New Roman" w:eastAsia="Times New Roman" w:hAnsi="Times New Roman"/>
          <w:sz w:val="20"/>
          <w:szCs w:val="20"/>
          <w:color w:val="auto"/>
        </w:rPr>
        <w:t>, (i) the Board or a committee thereof composed solely of two or more “non-employee directors” as defined in Rule 16b-3 of the Exchange Act will, subject to the exercise of such directors’ fiduciary duties, pre-approve such disposition or acquisition of equity securities of the Company or derivatives thereof, to or from the Company, respectively, for the express purpose of exempting the interests of such Stockholder, its Affiliates and the Director designated by such Stockholder (for the Stockholder and/or its Affiliates, to the extent such persons may be deemed to be “directors by deputization”) in such transaction from Section 16(b) of the Exchange Act pursuant to Rule 16b-3 thereunder or (ii) if the transaction involves (A) a merger or consolidation to which the Company is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20"/>
          <w:szCs w:val="20"/>
          <w:color w:val="auto"/>
        </w:rPr>
        <w:t>party and the Capital Stock is, in whole or in part, converted into or exchanged for equity securities of a different issuer, (B) a potential acquisition or deemed acquisition, or disposition or deemed disposition, by a Stockholder, its Affiliates, and/or the Director designated by such Stockholder of equity securities of such other issuer or derivatives thereof and (C) an Affiliate or other designee of such Stockholder or its Affiliates will serve on the board of directors (or its equivalent) of such other issuer pursuant to the terms of an agreement to which the Company is a party (or if the Stockholder notifies the Company of such service a reasonable time in advance of the closing of such transactions), the Company shall require that such other issuer preapprove any such acquisitions of equity securities or derivatives thereof for the express purpose of exempting the interests of such Stockholder, its Affiliates and the Director designated by such Stockholder (for the Stockholder and/or its Affiliates, to the extent such persons may be deemed to be “directors by deputization” of such other issuer) in such transactions from Section 16(b) of the Exchange Act pursuant to Rule 16b-3 thereunder.</w:t>
      </w:r>
    </w:p>
    <w:p>
      <w:pPr>
        <w:spacing w:after="0" w:line="19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2.2</w:t>
      </w:r>
      <w:r>
        <w:rPr>
          <w:sz w:val="20"/>
          <w:szCs w:val="20"/>
          <w:color w:val="auto"/>
        </w:rPr>
        <w:tab/>
      </w:r>
      <w:r>
        <w:rPr>
          <w:rFonts w:ascii="Times New Roman" w:cs="Times New Roman" w:eastAsia="Times New Roman" w:hAnsi="Times New Roman"/>
          <w:sz w:val="19"/>
          <w:szCs w:val="19"/>
          <w:b w:val="1"/>
          <w:bCs w:val="1"/>
          <w:u w:val="single" w:color="auto"/>
          <w:color w:val="auto"/>
        </w:rPr>
        <w:t>Director Compensation; Indemnification.</w:t>
      </w:r>
    </w:p>
    <w:p>
      <w:pPr>
        <w:spacing w:after="0" w:line="260" w:lineRule="exact"/>
        <w:rPr>
          <w:sz w:val="20"/>
          <w:szCs w:val="20"/>
          <w:color w:val="auto"/>
        </w:rPr>
      </w:pPr>
    </w:p>
    <w:p>
      <w:pPr>
        <w:jc w:val="both"/>
        <w:ind w:firstLine="656"/>
        <w:spacing w:after="0" w:line="258" w:lineRule="auto"/>
        <w:tabs>
          <w:tab w:leader="none" w:pos="124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approved by the Board, including each of the Charter Director, the Liberty Broadband Director and the Cerberus Director, each of the Charter Director, the Liberty Broadband Director, the Cerberus Director and the Additional Director shall be entitled to receive the same amount and type of compensation that the other non-employee directors receive in consideration for their service on the Board and any committees thereof.</w:t>
      </w:r>
    </w:p>
    <w:p>
      <w:pPr>
        <w:spacing w:after="0" w:line="19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5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indemnify the Directors and provide such Directors with director and officer insurance to the same extent as it indemnifies and provides such insurance to other members of the Board, pursuant to the Certificate of Incorporation, the DGCL or otherwise. The Company acknowledges and agrees that it (i) is the indemnitor of first resort (i.e., its obligations to the Directors are primary and any obligation of the Stockholder or its Affiliates to advance expenses or to provide indemnification for the same expenses or liabilities incurred by Directors designated by such Stockholder are secondary) and (ii) shall be required to advance the amount of expenses incurred by Directors and shall be liable for the amount of all expenses and liabilities incurred by a Director, in each case to the same extent as it advances expenses and is liable for expenses and liabilities incurred by the other members of the Board, pursuant to the Certificate of Incorporation, the DGCL or otherwise, without regard to any rights that a Director may have against any Stockholder or its Affiliates.</w:t>
      </w:r>
    </w:p>
    <w:p>
      <w:pPr>
        <w:spacing w:after="0" w:line="22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Stockholder and the Company hereby agree, notwithstanding anything to the contrary in any other agreement or at law or in equity, that, to the maximum extent permitted by law, when such Stockholder or any of its Permitted Transferees takes any action under this Agreement to give or withhold their consent, such Persons shall have no duty (fiduciary or other) to consider the interests of the Company or the other stockholders of the Company and may act exclusively in their own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foregoing shall in no way affect the obligations of the parties hereto to comply with the provisions of this Agreement.</w:t>
      </w:r>
    </w:p>
    <w:p>
      <w:pPr>
        <w:spacing w:after="0" w:line="215"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2.3</w:t>
      </w:r>
      <w:r>
        <w:rPr>
          <w:sz w:val="20"/>
          <w:szCs w:val="20"/>
          <w:color w:val="auto"/>
        </w:rPr>
        <w:tab/>
      </w:r>
      <w:r>
        <w:rPr>
          <w:rFonts w:ascii="Times New Roman" w:cs="Times New Roman" w:eastAsia="Times New Roman" w:hAnsi="Times New Roman"/>
          <w:sz w:val="19"/>
          <w:szCs w:val="19"/>
          <w:b w:val="1"/>
          <w:bCs w:val="1"/>
          <w:u w:val="single" w:color="auto"/>
          <w:color w:val="auto"/>
        </w:rPr>
        <w:t>Observers.</w:t>
      </w:r>
    </w:p>
    <w:p>
      <w:pPr>
        <w:spacing w:after="0" w:line="260" w:lineRule="exact"/>
        <w:rPr>
          <w:sz w:val="20"/>
          <w:szCs w:val="20"/>
          <w:color w:val="auto"/>
        </w:rPr>
      </w:pPr>
    </w:p>
    <w:p>
      <w:pPr>
        <w:jc w:val="both"/>
        <w:ind w:firstLine="656"/>
        <w:spacing w:after="0" w:line="253" w:lineRule="auto"/>
        <w:tabs>
          <w:tab w:leader="none" w:pos="119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a Stockholder beneficially owns Voting Stock representing at least 5% of the outstanding shares of Common Stock (on an as-converted basis), such Stockholder shall be entitled to appoint one individual to attend and observe meetings of the Board or any committee thereof in a non-voting capacity (such individuals, “</w:t>
      </w:r>
      <w:r>
        <w:rPr>
          <w:rFonts w:ascii="Times New Roman" w:cs="Times New Roman" w:eastAsia="Times New Roman" w:hAnsi="Times New Roman"/>
          <w:sz w:val="20"/>
          <w:szCs w:val="20"/>
          <w:b w:val="1"/>
          <w:bCs w:val="1"/>
          <w:color w:val="auto"/>
        </w:rPr>
        <w:t>Observers</w:t>
      </w:r>
      <w:r>
        <w:rPr>
          <w:rFonts w:ascii="Times New Roman" w:cs="Times New Roman" w:eastAsia="Times New Roman" w:hAnsi="Times New Roman"/>
          <w:sz w:val="20"/>
          <w:szCs w:val="20"/>
          <w:color w:val="auto"/>
        </w:rPr>
        <w:t>”). The Observers will be permitted (i) to attend and participate at each meeting of the Board or any committee of which the Stockholder’s Director is a member, and (ii) to receive notice of each meeting of the Board and such committee, each written consent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lieu of a meeting and copies of any materials delivered to the Directors in connection therewith at the same time and in the same manner that such notice and such materials are provided to the Directors. Under no circumstances shall any Observers be counted for purposes of voting, quorum or any other reason or be considered a Director. Each Observer shall agree to maintain the confidentiality of all non-public information and proceedings of the Board pursuant to the terms and conditions of a confidentiality agreement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Notwithstanding any rights to be granted or provided to the Observers hereunder, the Company may exclude an Observer from access to any Board or committee materials or information or meeting or portion thereof or written consent if the Board or applicable committee determines, in good faith, that including such Observer in discussions relating to such determination (but not requiring the affirmative vote of such Observer) and/or that such access would reasonably be expected to (i) adversely affect the attorney-client privilege between the Company, the Board or any committee thereof and such Person’s counsel, (ii) result in a conflict of interest with the Company (other than a conflict of interest with respect to the relevant Stockholder’s ownership interest in the Company or rights under the documents entered into in connection with the Exchange) or (iii) cause the Board (or such committee) to breach its fiduciary duties;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exclusion shall be limited to the portion of the Board or committee material or information and/or meeting or written consent that is the basis for such exclusion and shall not extend to any portion of the Board or committee material or information and/or meeting or written consent that does not involve or pertain to such exclusion;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Board shall treat all similarly situated Observers equally such that no Observer shall be excluded unless all other Observers whose participation in such meeting of the Board, or portions thereof, or receipt of such information, or portions thereof, would result in a similar concern are also excluded. The decision of the Board (or such committee) shall be final and binding on the parties hereto, and each Stockholder hereby waives any objection to such decision and agrees to cause its applicable Observer to not interpose any objection to any such decision. The Observers will not be entitled to compensation from the Company.</w:t>
      </w:r>
    </w:p>
    <w:p>
      <w:pPr>
        <w:spacing w:after="0" w:line="219" w:lineRule="exact"/>
        <w:rPr>
          <w:sz w:val="20"/>
          <w:szCs w:val="20"/>
          <w:color w:val="auto"/>
        </w:rPr>
      </w:pPr>
    </w:p>
    <w:p>
      <w:pPr>
        <w:jc w:val="both"/>
        <w:ind w:firstLine="656"/>
        <w:spacing w:after="0" w:line="257" w:lineRule="auto"/>
        <w:tabs>
          <w:tab w:leader="none" w:pos="11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Observer appointed by the Charter Stockholder may be removed (with or without cause) from time to time and at any time by the Charter Stockholder upon notice to the Company, any Observer appointed by the Liberty Broadband Stockholder may be removed (with or without cause) from time to time and at any time by the Liberty Broadband Stockholder upon notice to the Company, and any Observer appointed by the Cerberus Stockholder may be removed (with or without cause) from time to time and at any time by the Cerberus Stockholder upon notice to the Company.</w:t>
      </w:r>
    </w:p>
    <w:p>
      <w:pPr>
        <w:spacing w:after="0" w:line="196"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2.4</w:t>
      </w:r>
      <w:r>
        <w:rPr>
          <w:sz w:val="20"/>
          <w:szCs w:val="20"/>
          <w:color w:val="auto"/>
        </w:rPr>
        <w:tab/>
      </w:r>
      <w:r>
        <w:rPr>
          <w:rFonts w:ascii="Times New Roman" w:cs="Times New Roman" w:eastAsia="Times New Roman" w:hAnsi="Times New Roman"/>
          <w:sz w:val="19"/>
          <w:szCs w:val="19"/>
          <w:b w:val="1"/>
          <w:bCs w:val="1"/>
          <w:u w:val="single" w:color="auto"/>
          <w:color w:val="auto"/>
        </w:rPr>
        <w:t>Intentionally Omitted.</w:t>
      </w:r>
    </w:p>
    <w:p>
      <w:pPr>
        <w:spacing w:after="0" w:line="2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2.5 </w:t>
      </w:r>
      <w:r>
        <w:rPr>
          <w:rFonts w:ascii="Times New Roman" w:cs="Times New Roman" w:eastAsia="Times New Roman" w:hAnsi="Times New Roman"/>
          <w:sz w:val="20"/>
          <w:szCs w:val="20"/>
          <w:b w:val="1"/>
          <w:bCs w:val="1"/>
          <w:u w:val="single" w:color="auto"/>
          <w:color w:val="auto"/>
        </w:rPr>
        <w:t>Restriction on Other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Stockholders shall not, directly or indirectly, grant any proxy or enter into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be bound by any voting trust, agreement or arrangement of any kind with respect to their shares of Voting Stock if and to the extent the terms thereof conflict with the provisions of this Agreement (whether or not such proxy, voting trust, agreement or agreements are with other holders of shares of Common Stock or Preferred Stock that are not parties to this Agreement or otherwise).</w:t>
      </w:r>
    </w:p>
    <w:p>
      <w:pPr>
        <w:spacing w:after="0" w:line="19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OWNERSHIP AND TRANSFER OF STOCK</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3.1</w:t>
      </w:r>
      <w:r>
        <w:rPr>
          <w:sz w:val="20"/>
          <w:szCs w:val="20"/>
          <w:color w:val="auto"/>
        </w:rPr>
        <w:tab/>
      </w:r>
      <w:r>
        <w:rPr>
          <w:rFonts w:ascii="Times New Roman" w:cs="Times New Roman" w:eastAsia="Times New Roman" w:hAnsi="Times New Roman"/>
          <w:sz w:val="19"/>
          <w:szCs w:val="19"/>
          <w:b w:val="1"/>
          <w:bCs w:val="1"/>
          <w:u w:val="single" w:color="auto"/>
          <w:color w:val="auto"/>
        </w:rPr>
        <w:t>Restrictions on Transfer.</w:t>
      </w:r>
    </w:p>
    <w:p>
      <w:pPr>
        <w:spacing w:after="0" w:line="260" w:lineRule="exact"/>
        <w:rPr>
          <w:sz w:val="20"/>
          <w:szCs w:val="20"/>
          <w:color w:val="auto"/>
        </w:rPr>
      </w:pPr>
    </w:p>
    <w:p>
      <w:pPr>
        <w:ind w:firstLine="656"/>
        <w:spacing w:after="0" w:line="283" w:lineRule="auto"/>
        <w:tabs>
          <w:tab w:leader="none" w:pos="125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exceptions set forth below, each Stockholder agrees not to, without the prior consent of a majority of the Unaffiliated Directors, directly or indirectly, Transfer (i) any shares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20"/>
          <w:szCs w:val="20"/>
          <w:color w:val="auto"/>
        </w:rPr>
        <w:t>Exchange Common Stock for a period of six (6) months following the Closing Date or (ii) any shares of Common Stock issued upon conversion of the Preferred Stock in accordance with the Certificate of Designations (other than shares of Common Stock issued pursuant to a Mandatory Conversion (as defined in the Certificate of Designations), for which no such restriction shall apply) for a period of six (6) months following the applicable Conversion Date (as defined in the Certificate of Designations), in each case, unless the per share price paid in connection with such Transfer equals or exceeds $12.50, as equitably adjusted for any stock split, reverse stock split, combination, recapitalization or similar event with respect to Common Stock occurring subsequent to the Closing Date.</w:t>
      </w:r>
    </w:p>
    <w:p>
      <w:pPr>
        <w:spacing w:after="0" w:line="219" w:lineRule="exact"/>
        <w:rPr>
          <w:sz w:val="20"/>
          <w:szCs w:val="20"/>
          <w:color w:val="auto"/>
        </w:rPr>
      </w:pPr>
    </w:p>
    <w:p>
      <w:pPr>
        <w:jc w:val="both"/>
        <w:ind w:firstLine="656"/>
        <w:spacing w:after="0" w:line="250" w:lineRule="auto"/>
        <w:tabs>
          <w:tab w:leader="none" w:pos="112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exceptions set forth below, each Stockholder agrees not to, without the prior consent of the Board (excluding any Directors designated or nominated by the Stockholder seeking a Transfer), directly or indirectly, Transfer any Lock-Up Shares to an Activist Investor, to an Industry Person or to a Restricted Person, in each case, to the extent that the identity of the transaction counterparty can be reasonably ascertained and such Person meets the applicable definition thereof to such Stockholder’s knowledge after reasonable inquiry (excluding (x) any block trade in which a broker-dealer will attempt to sell the shares to a third-party as agent or other similar transactions with a financial intermediary, (y) any Transfers into the public market pursuant to a bona fide, broadly distributed underwritten public offering or (z) Transfers through a bona fide sale to the public, which is not directed at a particular transferee, without registration effectuated pursuant to Rule 144 under the Securities Act (such transactions in clauses (x) through (z), a “</w:t>
      </w:r>
      <w:r>
        <w:rPr>
          <w:rFonts w:ascii="Times New Roman" w:cs="Times New Roman" w:eastAsia="Times New Roman" w:hAnsi="Times New Roman"/>
          <w:sz w:val="20"/>
          <w:szCs w:val="20"/>
          <w:b w:val="1"/>
          <w:bCs w:val="1"/>
          <w:color w:val="auto"/>
        </w:rPr>
        <w:t>Marketed 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provisions of the foregoing clause shall not apply in connection with a Transfer of shares of Exchange Common Stock, Preferred Stock or Common Stock issued upon conversion of the Preferred Stock in connection with any foreclosure or exercise of remedies under a Permitted Loan in which case only the Foreclosure Limitations shall be applicable. If the Board consents to a Transfer by one Stockholder pursuant to this </w:t>
      </w:r>
      <w:r>
        <w:rPr>
          <w:rFonts w:ascii="Times New Roman" w:cs="Times New Roman" w:eastAsia="Times New Roman" w:hAnsi="Times New Roman"/>
          <w:sz w:val="20"/>
          <w:szCs w:val="20"/>
          <w:u w:val="single" w:color="auto"/>
          <w:color w:val="auto"/>
        </w:rPr>
        <w:t>Section 3.1(b)</w:t>
      </w:r>
      <w:r>
        <w:rPr>
          <w:rFonts w:ascii="Times New Roman" w:cs="Times New Roman" w:eastAsia="Times New Roman" w:hAnsi="Times New Roman"/>
          <w:sz w:val="20"/>
          <w:szCs w:val="20"/>
          <w:color w:val="auto"/>
        </w:rPr>
        <w:t>, it shall treat requests for Transfers by other Stockholders in an equivalent manner such that it shall not unreasonably withhold its consent to any substantially similar Transfer by any such other Stockholder.</w:t>
      </w:r>
    </w:p>
    <w:p>
      <w:pPr>
        <w:spacing w:after="0" w:line="20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attempt to Transfer in violation of the terms of this Agreement shall be null and void ab initio and no right, title or interest therein or thereto shall be transferred to the purported transferee. The Company will not give, and will not permit the Company’s transfer agent to give, any effect to such attempted Transfer on its records.</w:t>
      </w:r>
    </w:p>
    <w:p>
      <w:pPr>
        <w:spacing w:after="0" w:line="20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each certificate and/or book-entry interest representing shares of Exchange Common Stock, Preferred Stock, or Common Stock issuable upon conversion of shares of Preferred Stock in accordance with the Certificate of Designations, held by any Stockholder (or its Permitted Transferees) will bear a legend in substantially the following form:</w:t>
      </w:r>
    </w:p>
    <w:p>
      <w:pPr>
        <w:spacing w:after="0" w:line="208"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“The securities represented by this certificate have not been registered under the United States Securities Act of 1933, as amended (the “Act”) or applicable state securities laws and may not be transferred, sold or otherwise disposed of except while a registration statement relating thereto is in effect under the Act and applicable state securities laws or pursuant to an exemption from registration under such act or such laws. The securities represented by this certificate are subject to transfer restrictions set forth in the Second Amended and Restated Stockholders Agreement, dated as of December 29, 2025, as it may be amended from time to time by and among comScore, Inc. (the “Company”), Charter Communications Holding Company, LLC, Liberty Broadband Corporation, and Pine Investor, LLC (the “Second Amended and Restated Stockholders Agreement”). The Second Amended and Restated Stockholders Agreement contains, among other things, restrictions on the Transfer of the securities of the Company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69" w:name="page70"/>
    <w:bookmarkEnd w:id="69"/>
    <w:p>
      <w:pPr>
        <w:ind w:left="660"/>
        <w:spacing w:after="0" w:line="283" w:lineRule="auto"/>
        <w:rPr>
          <w:sz w:val="20"/>
          <w:szCs w:val="20"/>
          <w:color w:val="auto"/>
        </w:rPr>
      </w:pPr>
      <w:r>
        <w:rPr>
          <w:rFonts w:ascii="Times New Roman" w:cs="Times New Roman" w:eastAsia="Times New Roman" w:hAnsi="Times New Roman"/>
          <w:sz w:val="20"/>
          <w:szCs w:val="20"/>
          <w:color w:val="auto"/>
        </w:rPr>
        <w:t>other restrictions on the actions by certain stockholders of the Company relating to the Company and/or its securities. A copy of the Second Amended and Restated Stockholders Agreement is available upon request from the Company.”</w:t>
      </w:r>
    </w:p>
    <w:p>
      <w:pPr>
        <w:spacing w:after="0" w:line="376" w:lineRule="exact"/>
        <w:rPr>
          <w:sz w:val="20"/>
          <w:szCs w:val="20"/>
          <w:color w:val="auto"/>
        </w:rPr>
      </w:pPr>
    </w:p>
    <w:p>
      <w:pPr>
        <w:ind w:left="1140" w:hanging="484"/>
        <w:spacing w:after="0"/>
        <w:tabs>
          <w:tab w:leader="none" w:pos="11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the restrictions set forth in </w:t>
      </w:r>
      <w:r>
        <w:rPr>
          <w:rFonts w:ascii="Times New Roman" w:cs="Times New Roman" w:eastAsia="Times New Roman" w:hAnsi="Times New Roman"/>
          <w:sz w:val="19"/>
          <w:szCs w:val="19"/>
          <w:u w:val="single" w:color="auto"/>
          <w:color w:val="auto"/>
        </w:rPr>
        <w:t>Section 3.1(a)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3.1(b)</w:t>
      </w:r>
      <w:r>
        <w:rPr>
          <w:rFonts w:ascii="Times New Roman" w:cs="Times New Roman" w:eastAsia="Times New Roman" w:hAnsi="Times New Roman"/>
          <w:sz w:val="19"/>
          <w:szCs w:val="19"/>
          <w:color w:val="auto"/>
        </w:rPr>
        <w:t xml:space="preserve"> shall not apply to</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following:</w:t>
      </w:r>
    </w:p>
    <w:p>
      <w:pPr>
        <w:spacing w:after="0" w:line="234"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Transfers;</w:t>
      </w:r>
    </w:p>
    <w:p>
      <w:pPr>
        <w:spacing w:after="0" w:line="256"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Transfers to the Company, subject to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or</w:t>
      </w:r>
    </w:p>
    <w:p>
      <w:pPr>
        <w:spacing w:after="0" w:line="24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after commencement by the Company or a significant subsidiary (as such term is defined in Rule 12b-2 under the Exchange Act) of the Company (other than Rentrak, LLC, formerly Rentrak Corporation) of bankruptcy, insolvency or other similar proceedings;</w:t>
      </w:r>
    </w:p>
    <w:p>
      <w:pPr>
        <w:spacing w:after="0" w:line="20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case of Transfers to Permitted Transferees, such Permitted Transferees (if not already a party hereto), must agree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writing to be bound by this Agreement (in a customary form and substance reasonably satisfactory to the Company).</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3.2 </w:t>
      </w:r>
      <w:r>
        <w:rPr>
          <w:rFonts w:ascii="Times New Roman" w:cs="Times New Roman" w:eastAsia="Times New Roman" w:hAnsi="Times New Roman"/>
          <w:sz w:val="20"/>
          <w:szCs w:val="20"/>
          <w:b w:val="1"/>
          <w:bCs w:val="1"/>
          <w:u w:val="single" w:color="auto"/>
          <w:color w:val="auto"/>
        </w:rPr>
        <w:t>Standstill.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Stockholder agrees that, until such time that such Stockholder beneficially owns Voting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less than 5% of the outstanding shares of Common Stock (on an as-converted basis), none of it or its Affiliates will, directly or indirectly, do any of the following unless requested or approved in advance in writing by the Company:</w:t>
      </w:r>
    </w:p>
    <w:p>
      <w:pPr>
        <w:spacing w:after="0" w:line="202" w:lineRule="exact"/>
        <w:rPr>
          <w:sz w:val="20"/>
          <w:szCs w:val="20"/>
          <w:color w:val="auto"/>
        </w:rPr>
      </w:pPr>
    </w:p>
    <w:p>
      <w:pPr>
        <w:ind w:left="1120" w:hanging="464"/>
        <w:spacing w:after="0"/>
        <w:tabs>
          <w:tab w:leader="none" w:pos="112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Reserved</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firstLine="656"/>
        <w:spacing w:after="0" w:line="251" w:lineRule="auto"/>
        <w:tabs>
          <w:tab w:leader="none" w:pos="121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acquire, directly or indirectly, by purchase or otherwise, any securities or direct or indirect rights or options to acquire any shares of Preferred Stock or Common Stock (including any derivative securities or contracts or instruments in any way related thereto) of the Company such that after such acquisition the Stockholder and its Affiliates or any direct or indirect parent of such Stockholder would beneficially own more than 49.99% of the outstanding shares of Common Stock (on an as-converted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restriction in this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shall not apply to any acquisition (i) pursuant to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(Preemptive Rights) of this Agreement or any Stockholder’s exercise of its Right of First Refusal in connection with a Transfer that is permitted by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(ii) that is the result of operation of Section 10 (Anti-Dilution Adjustments) of the Certificate of Designations;</w:t>
      </w:r>
    </w:p>
    <w:p>
      <w:pPr>
        <w:spacing w:after="0" w:line="215" w:lineRule="exact"/>
        <w:rPr>
          <w:rFonts w:ascii="Times New Roman" w:cs="Times New Roman" w:eastAsia="Times New Roman" w:hAnsi="Times New Roman"/>
          <w:sz w:val="20"/>
          <w:szCs w:val="20"/>
          <w:color w:val="auto"/>
        </w:rPr>
      </w:pPr>
    </w:p>
    <w:p>
      <w:pPr>
        <w:jc w:val="both"/>
        <w:ind w:firstLine="656"/>
        <w:spacing w:after="0" w:line="260" w:lineRule="auto"/>
        <w:tabs>
          <w:tab w:leader="none" w:pos="118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in any way participate in, directly or indirectly, any “</w:t>
      </w:r>
      <w:r>
        <w:rPr>
          <w:rFonts w:ascii="Times New Roman" w:cs="Times New Roman" w:eastAsia="Times New Roman" w:hAnsi="Times New Roman"/>
          <w:sz w:val="20"/>
          <w:szCs w:val="20"/>
          <w:b w:val="1"/>
          <w:bCs w:val="1"/>
          <w:color w:val="auto"/>
        </w:rPr>
        <w:t>solicitation</w:t>
      </w:r>
      <w:r>
        <w:rPr>
          <w:rFonts w:ascii="Times New Roman" w:cs="Times New Roman" w:eastAsia="Times New Roman" w:hAnsi="Times New Roman"/>
          <w:sz w:val="20"/>
          <w:szCs w:val="20"/>
          <w:color w:val="auto"/>
        </w:rPr>
        <w:t>” of “</w:t>
      </w:r>
      <w:r>
        <w:rPr>
          <w:rFonts w:ascii="Times New Roman" w:cs="Times New Roman" w:eastAsia="Times New Roman" w:hAnsi="Times New Roman"/>
          <w:sz w:val="20"/>
          <w:szCs w:val="20"/>
          <w:b w:val="1"/>
          <w:bCs w:val="1"/>
          <w:color w:val="auto"/>
        </w:rPr>
        <w:t>proxies</w:t>
      </w:r>
      <w:r>
        <w:rPr>
          <w:rFonts w:ascii="Times New Roman" w:cs="Times New Roman" w:eastAsia="Times New Roman" w:hAnsi="Times New Roman"/>
          <w:sz w:val="20"/>
          <w:szCs w:val="20"/>
          <w:color w:val="auto"/>
        </w:rPr>
        <w:t xml:space="preserve">” (within the meaning of Rule 14a-1 under the Exchange Act) to vote any Voting Stock of the Company or its subsidiaries, or call or seek to call a meeting of the Company’s stockholders or initiate any stockholder proposal for action by the Company’s stockholders or seek the removal of any director from the Board of the Company (other than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of this Agreement);</w:t>
      </w:r>
    </w:p>
    <w:p>
      <w:pPr>
        <w:spacing w:after="0" w:line="19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6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public announcement with respect to, or submit a proposal for, or offer of (with or without conditions) any merger, consolidation, business combination, tender or exchange offer, restructuring, recapitalization or other extraordinary transaction of or involving the Company or any of its subsidiaries or their securities or assets (except (i) any nonpublic proposal to the Board that would not require the Company, such Stockholder or any other Person to make any public announcement or other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70" w:name="page71"/>
    <w:bookmarkEnd w:id="70"/>
    <w:p>
      <w:pPr>
        <w:spacing w:after="0" w:line="283" w:lineRule="auto"/>
        <w:rPr>
          <w:sz w:val="20"/>
          <w:szCs w:val="20"/>
          <w:color w:val="auto"/>
        </w:rPr>
      </w:pPr>
      <w:r>
        <w:rPr>
          <w:rFonts w:ascii="Times New Roman" w:cs="Times New Roman" w:eastAsia="Times New Roman" w:hAnsi="Times New Roman"/>
          <w:sz w:val="20"/>
          <w:szCs w:val="20"/>
          <w:color w:val="auto"/>
        </w:rPr>
        <w:t>disclosure with respect thereto or (ii) any public disclosure in any filings by the Stockholder or its Affiliates with the SEC to the extent required by applicable law or stock exchange rules);</w:t>
      </w:r>
    </w:p>
    <w:p>
      <w:pPr>
        <w:spacing w:after="0" w:line="169" w:lineRule="exact"/>
        <w:rPr>
          <w:sz w:val="20"/>
          <w:szCs w:val="20"/>
          <w:color w:val="auto"/>
        </w:rPr>
      </w:pPr>
    </w:p>
    <w:p>
      <w:pPr>
        <w:jc w:val="both"/>
        <w:ind w:firstLine="656"/>
        <w:spacing w:after="0" w:line="258" w:lineRule="auto"/>
        <w:tabs>
          <w:tab w:leader="none" w:pos="11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join or in any way participate in a “</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xml:space="preserve">” (as defined in Section 13(d)(3) of the Exchange Act) in connection with any Voting Stock of the Company or its subsidiaries, including with any other Stockholder or any of its Affiliates;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taking any action as required by this Agreement shall not constitute a violation of this </w:t>
      </w:r>
      <w:r>
        <w:rPr>
          <w:rFonts w:ascii="Times New Roman" w:cs="Times New Roman" w:eastAsia="Times New Roman" w:hAnsi="Times New Roman"/>
          <w:sz w:val="20"/>
          <w:szCs w:val="20"/>
          <w:u w:val="single" w:color="auto"/>
          <w:color w:val="auto"/>
        </w:rPr>
        <w:t>Section 3.2(e)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foregoing restriction in this </w:t>
      </w:r>
      <w:r>
        <w:rPr>
          <w:rFonts w:ascii="Times New Roman" w:cs="Times New Roman" w:eastAsia="Times New Roman" w:hAnsi="Times New Roman"/>
          <w:sz w:val="20"/>
          <w:szCs w:val="20"/>
          <w:u w:val="single" w:color="auto"/>
          <w:color w:val="auto"/>
        </w:rPr>
        <w:t>Section 3.2(e)</w:t>
      </w:r>
      <w:r>
        <w:rPr>
          <w:rFonts w:ascii="Times New Roman" w:cs="Times New Roman" w:eastAsia="Times New Roman" w:hAnsi="Times New Roman"/>
          <w:sz w:val="20"/>
          <w:szCs w:val="20"/>
          <w:color w:val="auto"/>
        </w:rPr>
        <w:t xml:space="preserve"> shall not apply to any action taken in connection with the previously announced merger of Charter Communications, Inc. and the Liberty Broadband Stockholder and shall not apply upon completion of such merger;</w:t>
      </w:r>
    </w:p>
    <w:p>
      <w:pPr>
        <w:spacing w:after="0" w:line="198" w:lineRule="exact"/>
        <w:rPr>
          <w:rFonts w:ascii="Times New Roman" w:cs="Times New Roman" w:eastAsia="Times New Roman" w:hAnsi="Times New Roman"/>
          <w:sz w:val="20"/>
          <w:szCs w:val="20"/>
          <w:color w:val="auto"/>
        </w:rPr>
      </w:pPr>
    </w:p>
    <w:p>
      <w:pPr>
        <w:ind w:firstLine="656"/>
        <w:spacing w:after="0" w:line="283" w:lineRule="auto"/>
        <w:tabs>
          <w:tab w:leader="none" w:pos="12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any action that would reasonably be expected to cause or require of the Company to make a public announcement regarding any actions prohibited by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contest the validity or enforceability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or</w:t>
      </w:r>
    </w:p>
    <w:p>
      <w:pPr>
        <w:spacing w:after="0" w:line="256" w:lineRule="exact"/>
        <w:rPr>
          <w:rFonts w:ascii="Times New Roman" w:cs="Times New Roman" w:eastAsia="Times New Roman" w:hAnsi="Times New Roman"/>
          <w:sz w:val="20"/>
          <w:szCs w:val="20"/>
          <w:color w:val="auto"/>
        </w:rPr>
      </w:pPr>
    </w:p>
    <w:p>
      <w:pPr>
        <w:ind w:firstLine="656"/>
        <w:spacing w:after="0" w:line="283" w:lineRule="auto"/>
        <w:tabs>
          <w:tab w:leader="none" w:pos="117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arrangements, understandings or agreements (whether written or oral) with, or advise, assist or encourage, any other persons to do any of the foregoing;</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nothing contained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limit, restrict or prohibit (i) any confidential, non-public discussions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 communications or proposals to management or the Board by the Stockholder, its Affiliates or representatives related to any of the foregoing, (ii) a Stockholder’s ability to vote, Transfer, convert, exercise its rights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(Preemptive Rights) or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(Right of First Refusal) or otherwise exercise rights with respect to its Common Stock or Preferred Stock in accordance with the terms and conditions of this Agreement and the Certificate of Designations or (iii) the ability of any Director to vote or otherwise exercise his or her duties or otherwise act in his or her capacity as a member of the Board;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for the avoidance of doubt, any shares of Preferred Stock and Common Stock held by a Stockholder or its Permitted Transferee shall be subject to the terms and restrictions set forth in this Agreement and the Certificate of Designations, including the limitations on voting set forth in Section 12 of the Certificate of Designations.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the foregoing, the restrictions set forth in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not apply if any of the following occurs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any matter described in clauses (a) or (b) of this paragraph has occurred and resulted in the restrictions imposed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ceasing to apply to a Stockholder, then, in the event the transaction related to such matter has not occurred within twelve (12) months of the date on which the Stockholder was released from such restrictions, then so long as such transaction is not being actively pursued at such time, the restrictions set forth in this Section 3.2 shall thereafter resume and continue to apply in accordance with their terms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restrictions shall not resume and continue to apply if such Stockholder has publicly taken any tangible steps with respect to any action or matter that would be prohibited by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such Stockholder is at that time continuing to pursue such action or matter, in which case such restrictions shall resume and continue to apply following such time as such Stockholder has ceased to pursue such action or matter)): (a) in the event the Company enters into a definitive agreement for a merger, consolidation or other business combination transaction as a result of which the stockholders of the Company would own (including, but not limited to, beneficial ownership) Voting Stock of the resulting corporation having 50% or less of the votes that may be cast generally in an election of directors if all outstanding Voting Stock were present and voted at a meeting held for such purpose; or (b) in the event that a tender offer or exchange offer for at least 50.1% of the Capital Stock of the Company is commenced by a third person (and not involving any breach, by a Stockholder,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which tender offer or exchange offer, if consummated,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76" w:lineRule="auto"/>
        <w:rPr>
          <w:sz w:val="20"/>
          <w:szCs w:val="20"/>
          <w:color w:val="auto"/>
        </w:rPr>
      </w:pPr>
      <w:r>
        <w:rPr>
          <w:rFonts w:ascii="Times New Roman" w:cs="Times New Roman" w:eastAsia="Times New Roman" w:hAnsi="Times New Roman"/>
          <w:sz w:val="19"/>
          <w:szCs w:val="19"/>
          <w:color w:val="auto"/>
        </w:rPr>
        <w:t>would result in a Change of Control, and either (1) the directors (excluding any Directors) recommend that the stockholders of the Company tender their shares in response to such offer or do not recommend against the tender offer or exchange offer within ten (10) business days after the commencement thereof or such longer period as shall then be permitted under U.S. federal securities laws or (2) the directors (excluding any Directors) later publicly recommend that the stockholders of the Company tender their shares in response to such offer.</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Notwithstanding the foregoing, solely with respect to the Liberty Broadband Stockholder, references in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to Affiliates shall mean Affiliates acting at the direction of or in concert with the Liberty Broadband Stockholder or any of its Permitted Transferees and any of the foregoing Persons’ respective Subsidiaries.</w:t>
      </w:r>
    </w:p>
    <w:p>
      <w:pPr>
        <w:spacing w:after="0" w:line="184"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3.3</w:t>
      </w:r>
      <w:r>
        <w:rPr>
          <w:sz w:val="20"/>
          <w:szCs w:val="20"/>
          <w:color w:val="auto"/>
        </w:rPr>
        <w:tab/>
      </w:r>
      <w:r>
        <w:rPr>
          <w:rFonts w:ascii="Times New Roman" w:cs="Times New Roman" w:eastAsia="Times New Roman" w:hAnsi="Times New Roman"/>
          <w:sz w:val="19"/>
          <w:szCs w:val="19"/>
          <w:b w:val="1"/>
          <w:bCs w:val="1"/>
          <w:u w:val="single" w:color="auto"/>
          <w:color w:val="auto"/>
        </w:rPr>
        <w:t>Right of First Refusal.</w:t>
      </w:r>
    </w:p>
    <w:p>
      <w:pPr>
        <w:spacing w:after="0" w:line="2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Subject to applicable securities laws and to the terms and conditions specified in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and the other restrictions set forth in this Agreement, each Stockholder, on behalf of itself and its controlled Affiliates, hereby grants to each other Stockholder a right of first refusal as set forth below (the “</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xml:space="preserve">”) to purchase shares of Preferred Stock or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notwithstanding anything herein to the contrary, the Right of First Refusal shall not be granted in respect of Cash-settled Exchangeables and Equity Linked Financings.</w:t>
      </w:r>
    </w:p>
    <w:p>
      <w:pPr>
        <w:spacing w:after="0" w:line="219" w:lineRule="exact"/>
        <w:rPr>
          <w:sz w:val="20"/>
          <w:szCs w:val="20"/>
          <w:color w:val="auto"/>
        </w:rPr>
      </w:pPr>
    </w:p>
    <w:p>
      <w:pPr>
        <w:jc w:val="both"/>
        <w:ind w:firstLine="656"/>
        <w:spacing w:after="0" w:line="261" w:lineRule="auto"/>
        <w:tabs>
          <w:tab w:leader="none" w:pos="120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no Stockholder or its controlled Affiliate shall, directly or indirectly through Transferring ownership interest of a controlled Affiliate thereof, Transfer any shares of Preferred Stock or Common Stock to another Person (other than Excluded Transfers and any Marketed Transfers) (each, a “</w:t>
      </w:r>
      <w:r>
        <w:rPr>
          <w:rFonts w:ascii="Times New Roman" w:cs="Times New Roman" w:eastAsia="Times New Roman" w:hAnsi="Times New Roman"/>
          <w:sz w:val="20"/>
          <w:szCs w:val="20"/>
          <w:b w:val="1"/>
          <w:bCs w:val="1"/>
          <w:color w:val="auto"/>
        </w:rPr>
        <w:t>Subject Transaction</w:t>
      </w:r>
      <w:r>
        <w:rPr>
          <w:rFonts w:ascii="Times New Roman" w:cs="Times New Roman" w:eastAsia="Times New Roman" w:hAnsi="Times New Roman"/>
          <w:sz w:val="20"/>
          <w:szCs w:val="20"/>
          <w:color w:val="auto"/>
        </w:rPr>
        <w:t>”) except in accordance with the following provisions:</w:t>
      </w:r>
    </w:p>
    <w:p>
      <w:pPr>
        <w:spacing w:after="0" w:line="204" w:lineRule="exact"/>
        <w:rPr>
          <w:rFonts w:ascii="Times New Roman" w:cs="Times New Roman" w:eastAsia="Times New Roman" w:hAnsi="Times New Roman"/>
          <w:sz w:val="20"/>
          <w:szCs w:val="20"/>
          <w:color w:val="auto"/>
        </w:rPr>
      </w:pPr>
    </w:p>
    <w:p>
      <w:pPr>
        <w:jc w:val="both"/>
        <w:ind w:left="80" w:firstLine="1224"/>
        <w:spacing w:after="0" w:line="256" w:lineRule="auto"/>
        <w:tabs>
          <w:tab w:leader="none" w:pos="1870"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 Stockholder (the “</w:t>
      </w:r>
      <w:r>
        <w:rPr>
          <w:rFonts w:ascii="Times New Roman" w:cs="Times New Roman" w:eastAsia="Times New Roman" w:hAnsi="Times New Roman"/>
          <w:sz w:val="20"/>
          <w:szCs w:val="20"/>
          <w:b w:val="1"/>
          <w:bCs w:val="1"/>
          <w:color w:val="auto"/>
        </w:rPr>
        <w:t>Transferring Stockholder</w:t>
      </w:r>
      <w:r>
        <w:rPr>
          <w:rFonts w:ascii="Times New Roman" w:cs="Times New Roman" w:eastAsia="Times New Roman" w:hAnsi="Times New Roman"/>
          <w:sz w:val="20"/>
          <w:szCs w:val="20"/>
          <w:color w:val="auto"/>
        </w:rPr>
        <w:t>”) receives a written offer (including from another Stockholder) for a Subject Transaction that the Transferring Stockholder desires to accept, the Transferring Stockholder shall, within three</w:t>
      </w:r>
    </w:p>
    <w:p>
      <w:pPr>
        <w:spacing w:after="0" w:line="1" w:lineRule="exact"/>
        <w:rPr>
          <w:rFonts w:ascii="Times New Roman" w:cs="Times New Roman" w:eastAsia="Times New Roman" w:hAnsi="Times New Roman"/>
          <w:sz w:val="20"/>
          <w:szCs w:val="20"/>
          <w:color w:val="auto"/>
        </w:rPr>
      </w:pPr>
    </w:p>
    <w:p>
      <w:pPr>
        <w:jc w:val="both"/>
        <w:ind w:left="80" w:firstLine="9"/>
        <w:spacing w:after="0" w:line="263" w:lineRule="auto"/>
        <w:tabs>
          <w:tab w:leader="none" w:pos="3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following receipt of such offer, deliver, together with a copy of such offer, a written notice (the “</w:t>
      </w:r>
      <w:r>
        <w:rPr>
          <w:rFonts w:ascii="Times New Roman" w:cs="Times New Roman" w:eastAsia="Times New Roman" w:hAnsi="Times New Roman"/>
          <w:sz w:val="19"/>
          <w:szCs w:val="19"/>
          <w:b w:val="1"/>
          <w:bCs w:val="1"/>
          <w:color w:val="auto"/>
        </w:rPr>
        <w:t>Transfer Notice</w:t>
      </w:r>
      <w:r>
        <w:rPr>
          <w:rFonts w:ascii="Times New Roman" w:cs="Times New Roman" w:eastAsia="Times New Roman" w:hAnsi="Times New Roman"/>
          <w:sz w:val="19"/>
          <w:szCs w:val="19"/>
          <w:color w:val="auto"/>
        </w:rPr>
        <w:t>”) to each of the other Stockholders (whether or not a party to the proposed Transfer) (together with each such Stockholder’s Permitted Transferees, a “</w:t>
      </w:r>
      <w:r>
        <w:rPr>
          <w:rFonts w:ascii="Times New Roman" w:cs="Times New Roman" w:eastAsia="Times New Roman" w:hAnsi="Times New Roman"/>
          <w:sz w:val="19"/>
          <w:szCs w:val="19"/>
          <w:b w:val="1"/>
          <w:bCs w:val="1"/>
          <w:color w:val="auto"/>
        </w:rPr>
        <w:t>Non-Transferring Stockholder</w:t>
      </w:r>
      <w:r>
        <w:rPr>
          <w:rFonts w:ascii="Times New Roman" w:cs="Times New Roman" w:eastAsia="Times New Roman" w:hAnsi="Times New Roman"/>
          <w:sz w:val="19"/>
          <w:szCs w:val="19"/>
          <w:color w:val="auto"/>
        </w:rPr>
        <w:t>”) stating (A) its bona fide intention to Transfer such shares of Preferred Stock and/or Common Stock pursuant to such Subject Transaction, (B) the identity of all proposed parties to such Subject Transaction, (C) the number of such shares of Preferred Stock or Common Stock to be Transferred pursuant to such Subject Transaction (the “</w:t>
      </w:r>
      <w:r>
        <w:rPr>
          <w:rFonts w:ascii="Times New Roman" w:cs="Times New Roman" w:eastAsia="Times New Roman" w:hAnsi="Times New Roman"/>
          <w:sz w:val="19"/>
          <w:szCs w:val="19"/>
          <w:b w:val="1"/>
          <w:bCs w:val="1"/>
          <w:color w:val="auto"/>
        </w:rPr>
        <w:t>ROFR Amount</w:t>
      </w:r>
      <w:r>
        <w:rPr>
          <w:rFonts w:ascii="Times New Roman" w:cs="Times New Roman" w:eastAsia="Times New Roman" w:hAnsi="Times New Roman"/>
          <w:sz w:val="19"/>
          <w:szCs w:val="19"/>
          <w:color w:val="auto"/>
        </w:rPr>
        <w:t>”), and (D) the proposed purchase price, which must be payable in cash, and the terms and conditions of the written offer, upon which the Transferring Stockholder proposes to Transfer such shares of Preferred Stock and/or Common Stock (including the proposed date of the closing of the Subject Transaction, which shall in no event be less than forty-five (45) business days from the date of the Transfer Notice) (clauses (B) through (D), collectively, the “</w:t>
      </w:r>
      <w:r>
        <w:rPr>
          <w:rFonts w:ascii="Times New Roman" w:cs="Times New Roman" w:eastAsia="Times New Roman" w:hAnsi="Times New Roman"/>
          <w:sz w:val="19"/>
          <w:szCs w:val="19"/>
          <w:b w:val="1"/>
          <w:bCs w:val="1"/>
          <w:color w:val="auto"/>
        </w:rPr>
        <w:t>Minimum Terms</w:t>
      </w:r>
      <w:r>
        <w:rPr>
          <w:rFonts w:ascii="Times New Roman" w:cs="Times New Roman" w:eastAsia="Times New Roman" w:hAnsi="Times New Roman"/>
          <w:sz w:val="19"/>
          <w:szCs w:val="19"/>
          <w:color w:val="auto"/>
        </w:rPr>
        <w:t>”). The Transfer Notice shall constitute the Transferring Stockholder’s irrevocable, binding offer to Transfer such shares of Preferred Stock or Common Stock to the Non-Transferring Stockholders (as between the Non-Transferring Stockholders, pro rata based on their relative beneficial ownership of the Voting Stock at such time) pursuant to the Minimum Terms.</w:t>
      </w:r>
    </w:p>
    <w:p>
      <w:pPr>
        <w:spacing w:after="0" w:line="199" w:lineRule="exact"/>
        <w:rPr>
          <w:rFonts w:ascii="Times New Roman" w:cs="Times New Roman" w:eastAsia="Times New Roman" w:hAnsi="Times New Roman"/>
          <w:sz w:val="19"/>
          <w:szCs w:val="19"/>
          <w:color w:val="auto"/>
        </w:rPr>
      </w:pPr>
    </w:p>
    <w:p>
      <w:pPr>
        <w:jc w:val="both"/>
        <w:ind w:firstLine="1304"/>
        <w:spacing w:after="0" w:line="261" w:lineRule="auto"/>
        <w:tabs>
          <w:tab w:leader="none" w:pos="1846"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thirty-five (35) business days after receipt of the Transfer Notice, each of the Non-Transferring Stockholders may elect to purchase any portion or all of its pro rata portion of the ROFR Amount at the price and on the terms and conditions specified in the Transfer Notice. In the event that either of the Non-Transferring Stockholders does not elect to purchase its entire pro rata portion of</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72" w:name="page73"/>
    <w:bookmarkEnd w:id="72"/>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the ROFR Amount within thirty-five (35) business days after the receipt of the Transfer Notice, the Transferring Stockholder shall notify the other Non-Transferring Stockholder of such election, and such other Non-Transferring Stockholder shall have ten (10) business days after its receipt of such notice to purchase the remaining amount of the ROFR Amount in respect of which such Non-Transferring Stockholder’s rights were not exercised pursuant to this </w:t>
      </w:r>
      <w:r>
        <w:rPr>
          <w:rFonts w:ascii="Times New Roman" w:cs="Times New Roman" w:eastAsia="Times New Roman" w:hAnsi="Times New Roman"/>
          <w:sz w:val="19"/>
          <w:szCs w:val="19"/>
          <w:u w:val="single" w:color="auto"/>
          <w:color w:val="auto"/>
        </w:rPr>
        <w:t>Section 3.3(a)</w:t>
      </w:r>
      <w:r>
        <w:rPr>
          <w:rFonts w:ascii="Times New Roman" w:cs="Times New Roman" w:eastAsia="Times New Roman" w:hAnsi="Times New Roman"/>
          <w:sz w:val="19"/>
          <w:szCs w:val="19"/>
          <w:color w:val="auto"/>
        </w:rPr>
        <w:t xml:space="preserve">. At the end of such ten (10) business day period, if none of the Non-Transferring Stockholders have elected to purchase any of the ROFR Amount or all the Non-Transferring Stockholders, collectively, have not elected to purchase, in the aggregate, the entire ROFR Amount, the Non-Transferring Stockholders will be deemed to have declined to exercise their rights under this </w:t>
      </w:r>
      <w:r>
        <w:rPr>
          <w:rFonts w:ascii="Times New Roman" w:cs="Times New Roman" w:eastAsia="Times New Roman" w:hAnsi="Times New Roman"/>
          <w:sz w:val="19"/>
          <w:szCs w:val="19"/>
          <w:u w:val="single" w:color="auto"/>
          <w:color w:val="auto"/>
        </w:rPr>
        <w:t>Section 3.3(a)(ii)</w:t>
      </w:r>
      <w:r>
        <w:rPr>
          <w:rFonts w:ascii="Times New Roman" w:cs="Times New Roman" w:eastAsia="Times New Roman" w:hAnsi="Times New Roman"/>
          <w:sz w:val="19"/>
          <w:szCs w:val="19"/>
          <w:color w:val="auto"/>
        </w:rPr>
        <w:t xml:space="preserve"> with respect to the balance of the ROFR Amount and the Transferring Stockholder shall have forty-five</w:t>
      </w:r>
    </w:p>
    <w:p>
      <w:pPr>
        <w:jc w:val="both"/>
        <w:ind w:firstLine="8"/>
        <w:spacing w:after="0" w:line="249" w:lineRule="auto"/>
        <w:tabs>
          <w:tab w:leader="none" w:pos="39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(which forty-five (45) business day period will be extended, if the Transferring Stockholder has entered into a definitive agreement in respect of such Transfer prior to such time and the Transfer is subject to regulatory approval, until four (4) business days after such approval or approvals have been received, but in no event by more than an additional forty-five (45) business days) thereafter to sell the entire ROFR Amount, at a price in cash not lower, and upon other terms and conditions that are not more favorable to the purchasers thereof in any material respect, than the price and the terms and conditions specified in the Transfer Notice. If the Transferring Stockholder has not consummated the Transfer of all or a portion of ROFR Amount within such forty-five (45) business days (or such extended period contemplated by the preceding sentence), the Transferring Stockholder shall not thereafter engage in a Subject Transaction and Transfer any shares of Preferred Stock or Common Stock without first offering such securities to each of the Non-Transferring Stockholders in the manner provided in this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20" w:lineRule="exact"/>
        <w:rPr>
          <w:rFonts w:ascii="Times New Roman" w:cs="Times New Roman" w:eastAsia="Times New Roman" w:hAnsi="Times New Roman"/>
          <w:sz w:val="20"/>
          <w:szCs w:val="20"/>
          <w:color w:val="auto"/>
        </w:rPr>
      </w:pPr>
    </w:p>
    <w:p>
      <w:pPr>
        <w:jc w:val="both"/>
        <w:ind w:firstLine="656"/>
        <w:spacing w:after="0" w:line="261" w:lineRule="auto"/>
        <w:tabs>
          <w:tab w:leader="none" w:pos="121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Closing Date, no Stockholder or its controlled Affiliate shall, directly or indirectly through Transferring ownership interest of a controlled Affiliate thereof, Transfer any shares of Preferred Stock or Common Stock to another Person through a Marketed Transfer (other than an Excluded Transfer) except in accordance with the following provisions:</w:t>
      </w:r>
    </w:p>
    <w:p>
      <w:pPr>
        <w:spacing w:after="0" w:line="194"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47"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Stockholder intends to execute a Marketed Transfer with respect to shares of Preferred Stock or Common Stock, at least ten (10) business days prior to the proposed initiation date of the Marketed Transfer, such Stockholder shall provide a written notice to the other Stockholders, which notice shall set forth its good faith estimate of the number of shares of Preferred Stock or Common Stock proposed to be Transferred and the proposed purchase price, which must be payable in cash.</w:t>
      </w:r>
    </w:p>
    <w:p>
      <w:pPr>
        <w:spacing w:after="0" w:line="21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813"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initiation of the Marketed Transfer, the Stockholder shall provide a written notice (a “</w:t>
      </w:r>
      <w:r>
        <w:rPr>
          <w:rFonts w:ascii="Times New Roman" w:cs="Times New Roman" w:eastAsia="Times New Roman" w:hAnsi="Times New Roman"/>
          <w:sz w:val="20"/>
          <w:szCs w:val="20"/>
          <w:b w:val="1"/>
          <w:bCs w:val="1"/>
          <w:color w:val="auto"/>
        </w:rPr>
        <w:t>Marketing Notice</w:t>
      </w:r>
      <w:r>
        <w:rPr>
          <w:rFonts w:ascii="Times New Roman" w:cs="Times New Roman" w:eastAsia="Times New Roman" w:hAnsi="Times New Roman"/>
          <w:sz w:val="20"/>
          <w:szCs w:val="20"/>
          <w:color w:val="auto"/>
        </w:rPr>
        <w:t>”) to each of the other Stockholders stating (i) its bona fide intention to Transfer such shares of Preferred Stock and/or Common Stock pursuant to such Marketed Transfer, (ii) the identity of all proposed parties (including any underwriters) to such Marketed Transfer, to the extent known, (iii) the number of such shares of Preferred Stock or Common Stock to be Transferred pursuant to such Marketed Transfer (the “</w:t>
      </w:r>
      <w:r>
        <w:rPr>
          <w:rFonts w:ascii="Times New Roman" w:cs="Times New Roman" w:eastAsia="Times New Roman" w:hAnsi="Times New Roman"/>
          <w:sz w:val="20"/>
          <w:szCs w:val="20"/>
          <w:b w:val="1"/>
          <w:bCs w:val="1"/>
          <w:color w:val="auto"/>
        </w:rPr>
        <w:t>Marketed Amount</w:t>
      </w:r>
      <w:r>
        <w:rPr>
          <w:rFonts w:ascii="Times New Roman" w:cs="Times New Roman" w:eastAsia="Times New Roman" w:hAnsi="Times New Roman"/>
          <w:sz w:val="20"/>
          <w:szCs w:val="20"/>
          <w:color w:val="auto"/>
        </w:rPr>
        <w:t>”), and (iv) the proposed purchase price, which must be payable in cash, and the other terms and conditions of the Marketed Transfer (clauses (ii) through (iv), collectively, the “</w:t>
      </w:r>
      <w:r>
        <w:rPr>
          <w:rFonts w:ascii="Times New Roman" w:cs="Times New Roman" w:eastAsia="Times New Roman" w:hAnsi="Times New Roman"/>
          <w:sz w:val="20"/>
          <w:szCs w:val="20"/>
          <w:b w:val="1"/>
          <w:bCs w:val="1"/>
          <w:color w:val="auto"/>
        </w:rPr>
        <w:t>Marketing Terms</w:t>
      </w:r>
      <w:r>
        <w:rPr>
          <w:rFonts w:ascii="Times New Roman" w:cs="Times New Roman" w:eastAsia="Times New Roman" w:hAnsi="Times New Roman"/>
          <w:sz w:val="20"/>
          <w:szCs w:val="20"/>
          <w:color w:val="auto"/>
        </w:rPr>
        <w:t>”). The Marketing Notice shall constitute the Transferring Stockholder’s irrevocable, binding offer to Transfer such shares of Preferred Stock or Common Stock to the other Stockholders (as between the other Stockholders, pro rata based on their relative beneficial ownership of the Voting Stock at such time) pursuant to the Marketing Terms.</w:t>
      </w:r>
    </w:p>
    <w:p>
      <w:pPr>
        <w:spacing w:after="0" w:line="21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66"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receipt of the Marketing Notice, each of the other Stockholders may elect to purchase any portion or all of its pro rata portion of the Marketed Amount at the price and on the terms and conditions specified in the Marketing Notice. At the end of such five (5)</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business day period, if none of the other Stockholders have elected to purchase any of the Marketed Amount or all the Non-Transferring Stockholders, collectively, have not elected to purchase, in the aggregate, the entire ROFR Amount, the other Stockholders will be deemed to have declined to exercise their rights under this </w:t>
      </w:r>
      <w:r>
        <w:rPr>
          <w:rFonts w:ascii="Times New Roman" w:cs="Times New Roman" w:eastAsia="Times New Roman" w:hAnsi="Times New Roman"/>
          <w:sz w:val="20"/>
          <w:szCs w:val="20"/>
          <w:u w:val="single" w:color="auto"/>
          <w:color w:val="auto"/>
        </w:rPr>
        <w:t>Section 3.3(b)(iii)</w:t>
      </w:r>
      <w:r>
        <w:rPr>
          <w:rFonts w:ascii="Times New Roman" w:cs="Times New Roman" w:eastAsia="Times New Roman" w:hAnsi="Times New Roman"/>
          <w:sz w:val="20"/>
          <w:szCs w:val="20"/>
          <w:color w:val="auto"/>
        </w:rPr>
        <w:t xml:space="preserve"> with respect to the balance of the Marketed Amount and the Transferring Stockholder shall have fifteen (15) business days thereafter to sell through a Marketed Transfer all or any portion of the Marketed Amount in respect of which each of the other Stockholders’ rights were not exercised pursuant to this </w:t>
      </w:r>
      <w:r>
        <w:rPr>
          <w:rFonts w:ascii="Times New Roman" w:cs="Times New Roman" w:eastAsia="Times New Roman" w:hAnsi="Times New Roman"/>
          <w:sz w:val="20"/>
          <w:szCs w:val="20"/>
          <w:u w:val="single" w:color="auto"/>
          <w:color w:val="auto"/>
        </w:rPr>
        <w:t>Section 3.3(b)</w:t>
      </w:r>
      <w:r>
        <w:rPr>
          <w:rFonts w:ascii="Times New Roman" w:cs="Times New Roman" w:eastAsia="Times New Roman" w:hAnsi="Times New Roman"/>
          <w:sz w:val="20"/>
          <w:szCs w:val="20"/>
          <w:color w:val="auto"/>
        </w:rPr>
        <w:t xml:space="preserve">, at a price in cash not lower than 95% of the price set forth in its Marketing Notice, and upon other terms and conditions that are not more favorable to the purchasers thereof in any material respect than the terms and conditions specified in the Marketing Notice. If the Stockholder initiating the Marketed Transfer has not consummated the Marketed Transfer of such Marketed Amount within such fifteen (15) business days, such Stockholder shall not thereafter Transfer any shares of Preferred Stock through a Marketed Transfer without first offering such securities to each of the other Stockholders in the manner provided in this </w:t>
      </w:r>
      <w:r>
        <w:rPr>
          <w:rFonts w:ascii="Times New Roman" w:cs="Times New Roman" w:eastAsia="Times New Roman" w:hAnsi="Times New Roman"/>
          <w:sz w:val="20"/>
          <w:szCs w:val="20"/>
          <w:u w:val="single" w:color="auto"/>
          <w:color w:val="auto"/>
        </w:rPr>
        <w:t>Section 3.3(b)</w:t>
      </w:r>
      <w:r>
        <w:rPr>
          <w:rFonts w:ascii="Times New Roman" w:cs="Times New Roman" w:eastAsia="Times New Roman" w:hAnsi="Times New Roman"/>
          <w:sz w:val="20"/>
          <w:szCs w:val="20"/>
          <w:color w:val="auto"/>
        </w:rPr>
        <w:t>.</w:t>
      </w:r>
    </w:p>
    <w:p>
      <w:pPr>
        <w:spacing w:after="0" w:line="223" w:lineRule="exact"/>
        <w:rPr>
          <w:sz w:val="20"/>
          <w:szCs w:val="20"/>
          <w:color w:val="auto"/>
        </w:rPr>
      </w:pPr>
    </w:p>
    <w:p>
      <w:pPr>
        <w:jc w:val="both"/>
        <w:ind w:firstLine="656"/>
        <w:spacing w:after="0" w:line="250" w:lineRule="auto"/>
        <w:tabs>
          <w:tab w:leader="none" w:pos="124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closing of the purchase of any ROFR Amount or Marketed Amount by the Stockholder exercising its Right of First Refusal shall occur ten (10) business days after the date on which such Stockholder shall have elected to purchase such ROFR Amount or Marketed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all required regulatory approvals (including, if required, the expiration or other termination of the waiting period under the Hart-Scott-Rodino Antitrust Improvements Act of 1976, as amended) have not been received prior to the end of such ten (10) business day period, the closing date shall be extended until two (2) business days after all such required approvals have been received. At the closing, the Stockholder Transferring the ROFR Amount or Marketed Amount shall deliver documents conveying title to such ROFR Amount or Marketed Amount to the purchasing Stockholder(s), free and clear of any liens or encumbrances (except for restrictions arising under any applicable securities laws or this Agreement), and any other instruments or instructions required to effectuate such Transfer and the purchase price shall be paid by wire transfer of immediately available funds, to an account designated by the Stockholder Transferring the ROFR Amount or Marketed Amount at least three (3) business days prior to the closing date.</w:t>
      </w:r>
    </w:p>
    <w:p>
      <w:pPr>
        <w:spacing w:after="0" w:line="223" w:lineRule="exact"/>
        <w:rPr>
          <w:rFonts w:ascii="Times New Roman" w:cs="Times New Roman" w:eastAsia="Times New Roman" w:hAnsi="Times New Roman"/>
          <w:sz w:val="20"/>
          <w:szCs w:val="20"/>
          <w:color w:val="auto"/>
        </w:rPr>
      </w:pPr>
    </w:p>
    <w:p>
      <w:pPr>
        <w:jc w:val="both"/>
        <w:ind w:firstLine="656"/>
        <w:spacing w:after="0" w:line="258" w:lineRule="auto"/>
        <w:tabs>
          <w:tab w:leader="none" w:pos="116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may only be enforced, amended or waived by, and shall only inure to the benefit of, the Stockholders and their respective successors and permitted assigns, and the Company shall have no right to enforce, and the consent of the Company is not required to amend or waive, the provisions of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Stockholders shall provide the Company with prior notice of any such amendment or waiver.</w:t>
      </w:r>
    </w:p>
    <w:p>
      <w:pPr>
        <w:spacing w:after="0" w:line="19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that limits the ability of a Person to assign or transfer its rights hereunder, a Stockholder that exercises its Right of First Refusal pursuant to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may designate any of its Permitted Transferees to purchase all or part of the shares of such Preferred Stock and/or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Stockholder shall remain obligated to consummate the purchase if such designees fail to do so.</w:t>
      </w: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3.4 </w:t>
      </w:r>
      <w:r>
        <w:rPr>
          <w:rFonts w:ascii="Times New Roman" w:cs="Times New Roman" w:eastAsia="Times New Roman" w:hAnsi="Times New Roman"/>
          <w:sz w:val="20"/>
          <w:szCs w:val="20"/>
          <w:b w:val="1"/>
          <w:bCs w:val="1"/>
          <w:u w:val="single" w:color="auto"/>
          <w:color w:val="auto"/>
        </w:rPr>
        <w:t>Issuer Repurchases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Stockholder agrees that, at any time when such Stockholder beneficially owns Voting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representing at least 45% of the outstanding shares of Common Stock (on an as-converted basis), such Stockholder and its controlled Affiliates will, upon the Company’s prior written notice delivered at least five (5) business days before the proposed repurchase, participate pro rata in any open market repurchases of Common Stock by the Company and execute, deliver, acknowledge and file such other documents and take such further actions as may be necessary to give effect to and carry out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Stockholder shall convert a number of shares of Preferred Stock into Common Stock necessary to participate pro rata in such open market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repurchases, to the extent required by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(without regard to any limitations on conversion contained in the Certificate of Designations);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further that the purchase price for the shares of Common Stock purchased pursuant to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shall be an amount equal to the greater of: (a) the purchase price proposed to be paid on the open market by the Company for such shares of Common Stock in connection with such open market repurchases and (b) the Liquidation Preference (as defined in the Certificate of Designations) of the shares of Preferred Stock required to be converted into such shares of Common Stock.</w:t>
      </w:r>
    </w:p>
    <w:p>
      <w:pPr>
        <w:spacing w:after="0" w:line="2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Section 3.5 </w:t>
      </w:r>
      <w:r>
        <w:rPr>
          <w:rFonts w:ascii="Times New Roman" w:cs="Times New Roman" w:eastAsia="Times New Roman" w:hAnsi="Times New Roman"/>
          <w:sz w:val="20"/>
          <w:szCs w:val="20"/>
          <w:b w:val="1"/>
          <w:bCs w:val="1"/>
          <w:u w:val="single" w:color="auto"/>
          <w:color w:val="auto"/>
        </w:rPr>
        <w:t>Distribution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the Liberty Broadband Stockholder desires to effect a Distribution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the Closing Date in which it will transfer Voting Stock to a Qualified Distribution Transferee, the Company, the Stockholders and the Qualified Distribution Transferee shall enter into an amendment to this Agreement on or prior to the date of consummation of such Distribution Transaction reasonably satisfactory to each such party pursuant to which the Qualified Distribution Transferee shall assume all rights and obligations of the Liberty Broadband Stockholder hereunder, and thereafter, references herein to the Liberty Broadband Stockholder shall be deemed references to the Qualified Distribution Transferee. All reasonable, documented out-of-pocket expenses incurred by the Company in connection with the foregoing shall be borne by the Liberty Broadband Stockholder and its Affiliate effecting such Distribution Transaction. Notwithstanding anything in this Agreement to the contrary, upon the transfer of all of the Liberty Broadband Stockholder’s Voting Stock to one or more Qualified Distribution Transferees, the Liberty Broadband Stockholder shall cease to have any obligations under this Agreement.</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Section 3.6 </w:t>
      </w:r>
      <w:r>
        <w:rPr>
          <w:rFonts w:ascii="Times New Roman" w:cs="Times New Roman" w:eastAsia="Times New Roman" w:hAnsi="Times New Roman"/>
          <w:sz w:val="20"/>
          <w:szCs w:val="20"/>
          <w:b w:val="1"/>
          <w:bCs w:val="1"/>
          <w:u w:val="single" w:color="auto"/>
          <w:color w:val="auto"/>
        </w:rPr>
        <w:t>Antitrust Filing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in connection with the exercise of the rights of any Stockholder or the Company pursuant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applicability of any terms of, the Certificate of Designations or this Agreement, a filing is required pursuant to any applicable Antitrust Laws, then the Company, on the one hand, and the applicable Stockholder, on the other hand, shall, at the request of the Stockholder, (a) as promptly as practicable, make, or cause or be made, all filings and submissions required under applicable Antitrust Laws, and (b) use their commercially reasonable efforts to obtain, or cause to be obtained, approval of the transaction associated with the filing or the termination or expiration of the applicable waiting period (“</w:t>
      </w:r>
      <w:r>
        <w:rPr>
          <w:rFonts w:ascii="Times New Roman" w:cs="Times New Roman" w:eastAsia="Times New Roman" w:hAnsi="Times New Roman"/>
          <w:sz w:val="20"/>
          <w:szCs w:val="20"/>
          <w:b w:val="1"/>
          <w:bCs w:val="1"/>
          <w:color w:val="auto"/>
        </w:rPr>
        <w:t>Antitrust Approval</w:t>
      </w:r>
      <w:r>
        <w:rPr>
          <w:rFonts w:ascii="Times New Roman" w:cs="Times New Roman" w:eastAsia="Times New Roman" w:hAnsi="Times New Roman"/>
          <w:sz w:val="20"/>
          <w:szCs w:val="20"/>
          <w:color w:val="auto"/>
        </w:rPr>
        <w:t xml:space="preserve">”); and notwithstanding anything to the contrary in the Certificate of Designations or this Agreement, the rights so exercised (or other action taken by the application of the terms thereof) shall be contingent upon, and subject to, the receipt of any required Antitrust Approval (as determined by the Stockholder) and such rights (or other action taken by the application of the terms thereof) shall be delayed until such Antitrust Approval is received;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with respect to any such filing resulting from the exercise of a Stockholder’s rights under the Certificate of Designations or this Agreement, any filing or submission fees required under the applicable Antitrust Laws shall be paid by such Stockholder and (ii) with respect to any such filing resulting from the exercise of the Company’s rights under the Certificate of Designations or this Agreement (or other action taken by the application of the terms thereof), any filing or submission fees required under the applicable Antitrust Laws shall be paid by the Company.</w:t>
      </w:r>
    </w:p>
    <w:p>
      <w:pPr>
        <w:spacing w:after="0" w:line="22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GOVERNANCE AND OTHER RIGHTS</w:t>
      </w:r>
    </w:p>
    <w:p>
      <w:pPr>
        <w:spacing w:after="0" w:line="23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Section 4.1 </w:t>
      </w:r>
      <w:r>
        <w:rPr>
          <w:rFonts w:ascii="Times New Roman" w:cs="Times New Roman" w:eastAsia="Times New Roman" w:hAnsi="Times New Roman"/>
          <w:sz w:val="20"/>
          <w:szCs w:val="20"/>
          <w:b w:val="1"/>
          <w:bCs w:val="1"/>
          <w:u w:val="single" w:color="auto"/>
          <w:color w:val="auto"/>
        </w:rPr>
        <w:t>Adverse Changes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prior written consent of each of the Charter Stockholder, the Liberty Broadband Stockholder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Cerberus Stockholder will be necessary for the Company to directly or indirectly effect or validate any of the following actions, whether or not such approval is required pursuant to the DGCL, for as long as such Stockholder beneficially owns Voting Stock representing at least 10% of the outstanding shares of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75" w:name="page76"/>
    <w:bookmarkEnd w:id="75"/>
    <w:p>
      <w:pPr>
        <w:spacing w:after="0" w:line="216" w:lineRule="exact"/>
        <w:rPr>
          <w:sz w:val="20"/>
          <w:szCs w:val="20"/>
          <w:color w:val="auto"/>
        </w:rPr>
      </w:pPr>
    </w:p>
    <w:p>
      <w:pPr>
        <w:ind w:left="-20" w:right="20" w:firstLine="656"/>
        <w:spacing w:after="0" w:line="283" w:lineRule="auto"/>
        <w:tabs>
          <w:tab w:leader="none" w:pos="110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waiver, alteration or repeal (whether by merger, consolidation or otherwise) of any provision of the Certificate of Incorporation (including the Certificate of Designations) or Bylaws;</w:t>
      </w:r>
    </w:p>
    <w:p>
      <w:pPr>
        <w:spacing w:after="0" w:line="173" w:lineRule="exact"/>
        <w:rPr>
          <w:rFonts w:ascii="Times New Roman" w:cs="Times New Roman" w:eastAsia="Times New Roman" w:hAnsi="Times New Roman"/>
          <w:sz w:val="20"/>
          <w:szCs w:val="20"/>
          <w:color w:val="auto"/>
        </w:rPr>
      </w:pPr>
    </w:p>
    <w:p>
      <w:pPr>
        <w:jc w:val="both"/>
        <w:ind w:left="-20" w:firstLine="656"/>
        <w:spacing w:after="0" w:line="257" w:lineRule="auto"/>
        <w:tabs>
          <w:tab w:leader="none" w:pos="11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to authorize, create, increase the number of authorized or issued shares of, reclassify any security into, issue or sell any additional Preferred Stock, any Parity Stock or Senior Stock or any other class or series of Capital Stock of the Company ranking senior to, or on a parity basis with, the Preferred Stock as to dividend rights or rights on the distribution of assets on any voluntary or involuntary liquidation, dissolution or winding up of the affairs of the Company or any securities or derivatives convertible or exercisable into, or exchangeable for, any of the foregoing securities;</w:t>
      </w:r>
    </w:p>
    <w:p>
      <w:pPr>
        <w:spacing w:after="0" w:line="199" w:lineRule="exact"/>
        <w:rPr>
          <w:rFonts w:ascii="Times New Roman" w:cs="Times New Roman" w:eastAsia="Times New Roman" w:hAnsi="Times New Roman"/>
          <w:sz w:val="20"/>
          <w:szCs w:val="20"/>
          <w:color w:val="auto"/>
        </w:rPr>
      </w:pPr>
    </w:p>
    <w:p>
      <w:pPr>
        <w:ind w:left="-20" w:firstLine="656"/>
        <w:spacing w:after="0" w:line="283" w:lineRule="auto"/>
        <w:tabs>
          <w:tab w:leader="none" w:pos="113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voluntary or involuntary liquidation, dissolution or winding up of the affairs of the Company or the filing of a petition under bankruptcy or insolvency law;</w:t>
      </w:r>
    </w:p>
    <w:p>
      <w:pPr>
        <w:spacing w:after="0" w:line="173" w:lineRule="exact"/>
        <w:rPr>
          <w:rFonts w:ascii="Times New Roman" w:cs="Times New Roman" w:eastAsia="Times New Roman" w:hAnsi="Times New Roman"/>
          <w:sz w:val="20"/>
          <w:szCs w:val="20"/>
          <w:color w:val="auto"/>
        </w:rPr>
      </w:pPr>
    </w:p>
    <w:p>
      <w:pPr>
        <w:ind w:left="1120" w:hanging="484"/>
        <w:spacing w:after="0"/>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of any transaction that would constitute a Change of Control;</w:t>
      </w:r>
    </w:p>
    <w:p>
      <w:pPr>
        <w:spacing w:after="0" w:line="256" w:lineRule="exact"/>
        <w:rPr>
          <w:rFonts w:ascii="Times New Roman" w:cs="Times New Roman" w:eastAsia="Times New Roman" w:hAnsi="Times New Roman"/>
          <w:sz w:val="20"/>
          <w:szCs w:val="20"/>
          <w:color w:val="auto"/>
        </w:rPr>
      </w:pPr>
    </w:p>
    <w:p>
      <w:pPr>
        <w:jc w:val="both"/>
        <w:ind w:left="-20" w:firstLine="656"/>
        <w:spacing w:after="0" w:line="258" w:lineRule="auto"/>
        <w:tabs>
          <w:tab w:leader="none" w:pos="113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redemption, purchase, acquisition (either directly or through any Subsidiary) or other liquidating payment relating to, any equity securities of the Company (other than redemptions, purchases or other acquisitions in accordance with the net settlement and net exercise features in any employment contract, benefit plan or other similar arrangement with or for the benefit of current or former employees, officers, directors or consultants);</w:t>
      </w:r>
    </w:p>
    <w:p>
      <w:pPr>
        <w:spacing w:after="0" w:line="199" w:lineRule="exact"/>
        <w:rPr>
          <w:rFonts w:ascii="Times New Roman" w:cs="Times New Roman" w:eastAsia="Times New Roman" w:hAnsi="Times New Roman"/>
          <w:sz w:val="20"/>
          <w:szCs w:val="20"/>
          <w:color w:val="auto"/>
        </w:rPr>
      </w:pPr>
    </w:p>
    <w:p>
      <w:pPr>
        <w:jc w:val="both"/>
        <w:ind w:left="-20" w:firstLine="656"/>
        <w:spacing w:after="0" w:line="268" w:lineRule="auto"/>
        <w:tabs>
          <w:tab w:leader="none" w:pos="114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increasing or decreasing the number of directors on the Board or the number of directors on the compensation committee or nomination and governance committee of the Board (except in accordance with the provisions of this Agreement or for purposes of effectuating the appointment right of a Stockholder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120" w:hanging="484"/>
        <w:spacing w:after="0"/>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the nature of the Company’s business in any material respect;</w:t>
      </w:r>
    </w:p>
    <w:p>
      <w:pPr>
        <w:spacing w:after="0" w:line="256" w:lineRule="exact"/>
        <w:rPr>
          <w:rFonts w:ascii="Times New Roman" w:cs="Times New Roman" w:eastAsia="Times New Roman" w:hAnsi="Times New Roman"/>
          <w:sz w:val="20"/>
          <w:szCs w:val="20"/>
          <w:color w:val="auto"/>
        </w:rPr>
      </w:pPr>
    </w:p>
    <w:p>
      <w:pPr>
        <w:ind w:left="1120" w:hanging="484"/>
        <w:spacing w:after="0"/>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the entity classification of the Company for U.S. federal income tax purposes;</w:t>
      </w:r>
    </w:p>
    <w:p>
      <w:pPr>
        <w:spacing w:after="0" w:line="242" w:lineRule="exact"/>
        <w:rPr>
          <w:rFonts w:ascii="Times New Roman" w:cs="Times New Roman" w:eastAsia="Times New Roman" w:hAnsi="Times New Roman"/>
          <w:sz w:val="20"/>
          <w:szCs w:val="20"/>
          <w:color w:val="auto"/>
        </w:rPr>
      </w:pPr>
    </w:p>
    <w:p>
      <w:pPr>
        <w:ind w:left="-20" w:firstLine="656"/>
        <w:spacing w:after="0" w:line="310" w:lineRule="auto"/>
        <w:tabs>
          <w:tab w:leader="none" w:pos="1203"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creating, or authorizing the creation of, or issuing, or authorizing the issuance of, any Indebtedness that would cause the Company’s Leverage Ratio to exceed 3.00:1.00, determined on a Pro Forma Basis after giving effect to the incurrence of such Indebtedness;</w:t>
      </w:r>
    </w:p>
    <w:p>
      <w:pPr>
        <w:spacing w:after="0" w:line="151" w:lineRule="exact"/>
        <w:rPr>
          <w:rFonts w:ascii="Times New Roman" w:cs="Times New Roman" w:eastAsia="Times New Roman" w:hAnsi="Times New Roman"/>
          <w:sz w:val="19"/>
          <w:szCs w:val="19"/>
          <w:color w:val="auto"/>
        </w:rPr>
      </w:pPr>
    </w:p>
    <w:p>
      <w:pPr>
        <w:ind w:left="1080" w:hanging="444"/>
        <w:spacing w:after="0"/>
        <w:tabs>
          <w:tab w:leader="none" w:pos="108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hiring, terminating or replacing the Chief Executive Officer of the Company;</w:t>
      </w:r>
    </w:p>
    <w:p>
      <w:pPr>
        <w:spacing w:after="0" w:line="256" w:lineRule="exact"/>
        <w:rPr>
          <w:rFonts w:ascii="Times New Roman" w:cs="Times New Roman" w:eastAsia="Times New Roman" w:hAnsi="Times New Roman"/>
          <w:sz w:val="20"/>
          <w:szCs w:val="20"/>
          <w:color w:val="auto"/>
        </w:rPr>
      </w:pPr>
    </w:p>
    <w:p>
      <w:pPr>
        <w:ind w:left="1120" w:hanging="484"/>
        <w:spacing w:after="0"/>
        <w:tabs>
          <w:tab w:leader="none" w:pos="11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declaring any cash dividend on, or making any cash distributions relating to, Junior Stock or Parity Stock;</w:t>
      </w:r>
    </w:p>
    <w:p>
      <w:pPr>
        <w:spacing w:after="0" w:line="256" w:lineRule="exact"/>
        <w:rPr>
          <w:rFonts w:ascii="Times New Roman" w:cs="Times New Roman" w:eastAsia="Times New Roman" w:hAnsi="Times New Roman"/>
          <w:sz w:val="20"/>
          <w:szCs w:val="20"/>
          <w:color w:val="auto"/>
        </w:rPr>
      </w:pPr>
    </w:p>
    <w:p>
      <w:pPr>
        <w:jc w:val="both"/>
        <w:ind w:left="-20" w:right="20" w:firstLine="656"/>
        <w:spacing w:after="0" w:line="254" w:lineRule="auto"/>
        <w:tabs>
          <w:tab w:leader="none" w:pos="115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adopting a shareholder rights plan that does not exempt such Stockholder and its Affiliates and Permitted Transferees from being an “acquiring person” as a result of its holdings as of adoption of the shareholder rights plan (it being understood that such exemption need not relieve any Stockholder from any other restrictions under this Agreement, the Certificate of Designations, the Exchange Agreements or any other document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20"/>
          </w:cols>
          <w:pgMar w:left="340" w:top="1440" w:right="339" w:bottom="1440" w:gutter="0" w:footer="0" w:header="0"/>
        </w:sectPr>
      </w:pPr>
    </w:p>
    <w:bookmarkStart w:id="76" w:name="page77"/>
    <w:bookmarkEnd w:id="76"/>
    <w:p>
      <w:pPr>
        <w:jc w:val="both"/>
        <w:ind w:firstLine="656"/>
        <w:spacing w:after="0" w:line="253" w:lineRule="auto"/>
        <w:tabs>
          <w:tab w:leader="none" w:pos="130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entering into, or amending, any Related Party Transaction (other than any such transaction substantially comparable to a previously approved transaction with the same party entered in the ordinary course of business on terms that are no less favorable to the Company in the aggregate than (i) the terms of such previously approved transaction in all material respects and (ii) terms that could have been reached with an unrelated third party on a negotiated, arm’s-length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consent with respect to such Related Party Transaction shall not be unreasonably withheld, conditioned or delayed; and</w:t>
      </w:r>
    </w:p>
    <w:p>
      <w:pPr>
        <w:spacing w:after="0" w:line="218" w:lineRule="exact"/>
        <w:rPr>
          <w:rFonts w:ascii="Times New Roman" w:cs="Times New Roman" w:eastAsia="Times New Roman" w:hAnsi="Times New Roman"/>
          <w:sz w:val="20"/>
          <w:szCs w:val="20"/>
          <w:color w:val="auto"/>
        </w:rPr>
      </w:pPr>
    </w:p>
    <w:p>
      <w:pPr>
        <w:ind w:firstLine="656"/>
        <w:spacing w:after="0" w:line="283" w:lineRule="auto"/>
        <w:tabs>
          <w:tab w:leader="none" w:pos="116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any significant subsidiary (as such term is defined in Rule 12b-2 under the Exchange Act) of the Company to take any of the actions that the Company is prohibited from taking as set forth above.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the filing in accordance with applicable law of a certificate of designations or any similar document setting forth or changing the designations, powers, preferences, rights, qualifications, limitations and restrictions of any class or series of stock of the Company shall be deemed an amendment to the Certificate of Incorporation.</w:t>
      </w:r>
    </w:p>
    <w:p>
      <w:pPr>
        <w:spacing w:after="0" w:line="204"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4.2</w:t>
      </w:r>
      <w:r>
        <w:rPr>
          <w:sz w:val="20"/>
          <w:szCs w:val="20"/>
          <w:color w:val="auto"/>
        </w:rPr>
        <w:tab/>
      </w:r>
      <w:r>
        <w:rPr>
          <w:rFonts w:ascii="Times New Roman" w:cs="Times New Roman" w:eastAsia="Times New Roman" w:hAnsi="Times New Roman"/>
          <w:sz w:val="19"/>
          <w:szCs w:val="19"/>
          <w:b w:val="1"/>
          <w:bCs w:val="1"/>
          <w:u w:val="single" w:color="auto"/>
          <w:color w:val="auto"/>
        </w:rPr>
        <w:t>Preemptive Rights</w:t>
      </w:r>
      <w:r>
        <w:rPr>
          <w:rFonts w:ascii="Times New Roman" w:cs="Times New Roman" w:eastAsia="Times New Roman" w:hAnsi="Times New Roman"/>
          <w:sz w:val="19"/>
          <w:szCs w:val="19"/>
          <w:b w:val="1"/>
          <w:bCs w:val="1"/>
          <w:color w:val="auto"/>
        </w:rPr>
        <w:t>.</w:t>
      </w:r>
    </w:p>
    <w:p>
      <w:pPr>
        <w:spacing w:after="0" w:line="260" w:lineRule="exact"/>
        <w:rPr>
          <w:sz w:val="20"/>
          <w:szCs w:val="20"/>
          <w:color w:val="auto"/>
        </w:rPr>
      </w:pPr>
    </w:p>
    <w:p>
      <w:pPr>
        <w:jc w:val="both"/>
        <w:ind w:firstLine="656"/>
        <w:spacing w:after="0" w:line="249" w:lineRule="auto"/>
        <w:tabs>
          <w:tab w:leader="none" w:pos="117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issuance of Excluded Securities or pursuant to the conversion or exercise of any Capital Stock outstanding on the Closing Date, if, following the Closing Date, the Company authorizes the issuance or sale of any Capital Stock to any Person or Persons (the “</w:t>
      </w:r>
      <w:r>
        <w:rPr>
          <w:rFonts w:ascii="Times New Roman" w:cs="Times New Roman" w:eastAsia="Times New Roman" w:hAnsi="Times New Roman"/>
          <w:sz w:val="20"/>
          <w:szCs w:val="20"/>
          <w:b w:val="1"/>
          <w:bCs w:val="1"/>
          <w:color w:val="auto"/>
        </w:rPr>
        <w:t>Offeree</w:t>
      </w:r>
      <w:r>
        <w:rPr>
          <w:rFonts w:ascii="Times New Roman" w:cs="Times New Roman" w:eastAsia="Times New Roman" w:hAnsi="Times New Roman"/>
          <w:sz w:val="20"/>
          <w:szCs w:val="20"/>
          <w:color w:val="auto"/>
        </w:rPr>
        <w:t>”), the Company shall first offer to sell to the Qualified Stockholders a portion of such Capital Stock equal to the quotient determined by dividing (1) the number of shares of Common Stock beneficially owned by such Qualified Stockholder at such time (determined on an as-converted basis), by (2) the total number of shares of Common Stock then issued and outstanding immediately prior to such issuance (determined on an as-converted basis) (the “</w:t>
      </w:r>
      <w:r>
        <w:rPr>
          <w:rFonts w:ascii="Times New Roman" w:cs="Times New Roman" w:eastAsia="Times New Roman" w:hAnsi="Times New Roman"/>
          <w:sz w:val="20"/>
          <w:szCs w:val="20"/>
          <w:b w:val="1"/>
          <w:bCs w:val="1"/>
          <w:color w:val="auto"/>
        </w:rPr>
        <w:t>Preemptive Percentage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Qualified Stockholder shall not be entitled to acquire any such Capital Stock pursuant to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to the extent the issuance of such Capital Stock to such Qualified Stockholder would require approval of the stockholders of the Company as a result of such Qualified Stockholder’s status, if applicable, as an Affiliate of the Company or pursuant to the rules and listing standards of Nasdaq, in which case the Company may consummate the proposed issuance of the Capital Stock to other Persons prior to obtaining approval of the stockholders of the Company (subject to compliance by the Company with </w:t>
      </w:r>
      <w:r>
        <w:rPr>
          <w:rFonts w:ascii="Times New Roman" w:cs="Times New Roman" w:eastAsia="Times New Roman" w:hAnsi="Times New Roman"/>
          <w:sz w:val="20"/>
          <w:szCs w:val="20"/>
          <w:u w:val="single" w:color="auto"/>
          <w:color w:val="auto"/>
        </w:rPr>
        <w:t>Section 4.2(f)</w:t>
      </w:r>
      <w:r>
        <w:rPr>
          <w:rFonts w:ascii="Times New Roman" w:cs="Times New Roman" w:eastAsia="Times New Roman" w:hAnsi="Times New Roman"/>
          <w:sz w:val="20"/>
          <w:szCs w:val="20"/>
          <w:color w:val="auto"/>
        </w:rPr>
        <w:t xml:space="preserve"> below). The Qualified Stockholders shall be entitled to purchase such Capital Stock at the same price as such Capital Stock is to be offered to the Offeree;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Offeree is required to also purchase other Capital Stock, the Qualified Stockholders shall also be required to purchase the same Capital Stock (at the same price) that the Offeree is required to purchase. The Qualified Stockholders electing to purchase their pro rata share of the Capital Stock authorized for issuance or sale to the Offeree (“</w:t>
      </w:r>
      <w:r>
        <w:rPr>
          <w:rFonts w:ascii="Times New Roman" w:cs="Times New Roman" w:eastAsia="Times New Roman" w:hAnsi="Times New Roman"/>
          <w:sz w:val="20"/>
          <w:szCs w:val="20"/>
          <w:b w:val="1"/>
          <w:bCs w:val="1"/>
          <w:color w:val="auto"/>
        </w:rPr>
        <w:t>Participating Stockholders</w:t>
      </w:r>
      <w:r>
        <w:rPr>
          <w:rFonts w:ascii="Times New Roman" w:cs="Times New Roman" w:eastAsia="Times New Roman" w:hAnsi="Times New Roman"/>
          <w:sz w:val="20"/>
          <w:szCs w:val="20"/>
          <w:color w:val="auto"/>
        </w:rPr>
        <w:t xml:space="preserve">”) will take all necessary actions in connection with the consummation of the purchase transactions contemplated by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as requested by the Board, including the execution of all agreements, documents and instruments in connection therewith in the form presented by the Company, so long as such agreements, documents and instruments are on customary forms for a transaction of this type and do not require such Participating Stockholders to make or agree to any representation, warranty, covenant or indemnity that is more burdensome than that required of the Offeree in the agreements, documents or instruments in connection with such transaction. If any Qualified Stockholder elects not to purchase any such Capital Stock, or not to purchase all of such Qualified Stockholder’s pro rata portion thereof, each other Qualified Stockholder who has elected to purchase all of such Qualified Stockholder’s full pro rata share of the Capital Stock authorized for issuance or sale to the Offeree (a “</w:t>
      </w:r>
      <w:r>
        <w:rPr>
          <w:rFonts w:ascii="Times New Roman" w:cs="Times New Roman" w:eastAsia="Times New Roman" w:hAnsi="Times New Roman"/>
          <w:sz w:val="20"/>
          <w:szCs w:val="20"/>
          <w:b w:val="1"/>
          <w:bCs w:val="1"/>
          <w:color w:val="auto"/>
        </w:rPr>
        <w:t>Fully Participating Stockholder</w:t>
      </w:r>
      <w:r>
        <w:rPr>
          <w:rFonts w:ascii="Times New Roman" w:cs="Times New Roman" w:eastAsia="Times New Roman" w:hAnsi="Times New Roman"/>
          <w:sz w:val="20"/>
          <w:szCs w:val="20"/>
          <w:color w:val="auto"/>
        </w:rPr>
        <w:t>”) shall be entitled to purchase an additional number of shares of such Capital Stock as set forth below. If a Fully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Participating Stockholder desires to purchase such Capital Stock in excess of the portion allocated to such Fully Participating Stockholder pursuant to the first sentence of this </w:t>
      </w:r>
      <w:r>
        <w:rPr>
          <w:rFonts w:ascii="Times New Roman" w:cs="Times New Roman" w:eastAsia="Times New Roman" w:hAnsi="Times New Roman"/>
          <w:sz w:val="19"/>
          <w:szCs w:val="19"/>
          <w:u w:val="single" w:color="auto"/>
          <w:color w:val="auto"/>
        </w:rPr>
        <w:t>Section 4.2(a)</w:t>
      </w:r>
      <w:r>
        <w:rPr>
          <w:rFonts w:ascii="Times New Roman" w:cs="Times New Roman" w:eastAsia="Times New Roman" w:hAnsi="Times New Roman"/>
          <w:sz w:val="19"/>
          <w:szCs w:val="19"/>
          <w:color w:val="auto"/>
        </w:rPr>
        <w:t xml:space="preserve">, then such Fully Participating Stockholder shall be entitled to purchase a number of shares of Capital Stock equal to the aggregate number of shares of Capital Stock that the other Qualified Stockholders elected not to purchase pursuant to the first sentence of this </w:t>
      </w:r>
      <w:r>
        <w:rPr>
          <w:rFonts w:ascii="Times New Roman" w:cs="Times New Roman" w:eastAsia="Times New Roman" w:hAnsi="Times New Roman"/>
          <w:sz w:val="19"/>
          <w:szCs w:val="19"/>
          <w:u w:val="single" w:color="auto"/>
          <w:color w:val="auto"/>
        </w:rPr>
        <w:t>Section 4.2(a)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there is an oversubscription in respect of such remaining Capital Stock due to more than one Fully Participating Stockholder requesting additional Capital Stock, the oversubscribed amount shall be fully allocated among the Fully Participating Stockholders pro rata based on such Fully Participating Stockholders’ relative Preemptive Percentage.</w:t>
      </w:r>
    </w:p>
    <w:p>
      <w:pPr>
        <w:spacing w:after="0" w:line="205" w:lineRule="exact"/>
        <w:rPr>
          <w:sz w:val="20"/>
          <w:szCs w:val="20"/>
          <w:color w:val="auto"/>
        </w:rPr>
      </w:pPr>
    </w:p>
    <w:p>
      <w:pPr>
        <w:jc w:val="both"/>
        <w:ind w:firstLine="656"/>
        <w:spacing w:after="0" w:line="254" w:lineRule="auto"/>
        <w:tabs>
          <w:tab w:leader="none" w:pos="116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exercise its purchase rights hereunder, a Qualified Stockholder must, within 15 days after receipt of written notice from the Company describing the Capital Stock being offered, the purchase price thereof, the payment terms and such Qualified Stockholder’s percentage allotment, deliver a written notice to the Company describing its election hereunder (which election shall be absolute and unconditional other than being conditioned upon the consummation of the issuance to the Offeree).</w:t>
      </w:r>
    </w:p>
    <w:p>
      <w:pPr>
        <w:spacing w:after="0" w:line="214" w:lineRule="exact"/>
        <w:rPr>
          <w:rFonts w:ascii="Times New Roman" w:cs="Times New Roman" w:eastAsia="Times New Roman" w:hAnsi="Times New Roman"/>
          <w:sz w:val="20"/>
          <w:szCs w:val="20"/>
          <w:color w:val="auto"/>
        </w:rPr>
      </w:pPr>
    </w:p>
    <w:p>
      <w:pPr>
        <w:jc w:val="both"/>
        <w:ind w:firstLine="656"/>
        <w:spacing w:after="0" w:line="269" w:lineRule="auto"/>
        <w:tabs>
          <w:tab w:leader="none" w:pos="107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During the 90 days following the expiration of the 15-day offering period described above, the Company shall be entitled to sell the shares of Capital Stock, which the Qualified Stockholders have not elected to purchase, to the Offeree at no less than the purchase price, and upon other terms no more favorable than those, stated in the notice provided under </w:t>
      </w:r>
      <w:r>
        <w:rPr>
          <w:rFonts w:ascii="Times New Roman" w:cs="Times New Roman" w:eastAsia="Times New Roman" w:hAnsi="Times New Roman"/>
          <w:sz w:val="19"/>
          <w:szCs w:val="19"/>
          <w:u w:val="single" w:color="auto"/>
          <w:color w:val="auto"/>
        </w:rPr>
        <w:t>Section 4.2(b)</w:t>
      </w:r>
      <w:r>
        <w:rPr>
          <w:rFonts w:ascii="Times New Roman" w:cs="Times New Roman" w:eastAsia="Times New Roman" w:hAnsi="Times New Roman"/>
          <w:sz w:val="19"/>
          <w:szCs w:val="19"/>
          <w:color w:val="auto"/>
        </w:rPr>
        <w:t xml:space="preserve"> (in addition to the portion of the Capital Stock the Company is not required to offer to the Qualified Stockholders pursuant to the first sentence of </w:t>
      </w:r>
      <w:r>
        <w:rPr>
          <w:rFonts w:ascii="Times New Roman" w:cs="Times New Roman" w:eastAsia="Times New Roman" w:hAnsi="Times New Roman"/>
          <w:sz w:val="19"/>
          <w:szCs w:val="19"/>
          <w:u w:val="single" w:color="auto"/>
          <w:color w:val="auto"/>
        </w:rPr>
        <w:t>Section 4.2(a)</w:t>
      </w:r>
      <w:r>
        <w:rPr>
          <w:rFonts w:ascii="Times New Roman" w:cs="Times New Roman" w:eastAsia="Times New Roman" w:hAnsi="Times New Roman"/>
          <w:sz w:val="19"/>
          <w:szCs w:val="19"/>
          <w:color w:val="auto"/>
        </w:rPr>
        <w:t xml:space="preserve">). Any Capital Stock proposed to be offered or sold by the Company to the Offeree after such 90-day period, or at a price not complying with the immediate preceding sentence, must be reoffered to the Qualified Stockholders pursuant to the terms of this </w:t>
      </w:r>
      <w:r>
        <w:rPr>
          <w:rFonts w:ascii="Times New Roman" w:cs="Times New Roman" w:eastAsia="Times New Roman" w:hAnsi="Times New Roman"/>
          <w:sz w:val="19"/>
          <w:szCs w:val="19"/>
          <w:u w:val="single" w:color="auto"/>
          <w:color w:val="auto"/>
        </w:rPr>
        <w:t>Section 4.2</w:t>
      </w:r>
      <w:r>
        <w:rPr>
          <w:rFonts w:ascii="Times New Roman" w:cs="Times New Roman" w:eastAsia="Times New Roman" w:hAnsi="Times New Roman"/>
          <w:sz w:val="19"/>
          <w:szCs w:val="19"/>
          <w:color w:val="auto"/>
        </w:rPr>
        <w:t xml:space="preserve"> prior to any sale to the Offeree.</w:t>
      </w:r>
    </w:p>
    <w:p>
      <w:pPr>
        <w:spacing w:after="0" w:line="204" w:lineRule="exact"/>
        <w:rPr>
          <w:rFonts w:ascii="Times New Roman" w:cs="Times New Roman" w:eastAsia="Times New Roman" w:hAnsi="Times New Roman"/>
          <w:sz w:val="19"/>
          <w:szCs w:val="19"/>
          <w:color w:val="auto"/>
        </w:rPr>
      </w:pPr>
    </w:p>
    <w:p>
      <w:pPr>
        <w:jc w:val="both"/>
        <w:ind w:firstLine="656"/>
        <w:spacing w:after="0" w:line="250" w:lineRule="auto"/>
        <w:tabs>
          <w:tab w:leader="none" w:pos="118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Qualified Stockholder is not entitled to acquire any Capital Stock pursuant to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xml:space="preserve"> because such issuance would require the Company to obtain stockholder approval in respect of the issuance of such Capital Stock to such Qualified Stockholder as a result of any such Qualified Stockholder’s status, if applicable, as an Affiliate of the Company or pursuant to the rules and listing standards of Nasdaq, the Company shall, upon the Qualified Stockholder’s reasonable request delivered to the Company in writing within seven (7) business days following its receipt of the written notice of such issuance to the Qualified Stockholder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4.2(b)</w:t>
      </w:r>
      <w:r>
        <w:rPr>
          <w:rFonts w:ascii="Times New Roman" w:cs="Times New Roman" w:eastAsia="Times New Roman" w:hAnsi="Times New Roman"/>
          <w:sz w:val="20"/>
          <w:szCs w:val="20"/>
          <w:color w:val="auto"/>
        </w:rPr>
        <w:t xml:space="preserve">, at the Qualified Stockholder’s election, (i) waive the restrictions 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solely to the extent necessary to permit such Qualified Stockholder to acquire such number of shares of Capital Stock equivalent to its Preemptive Percentage of such issuance such Qualified Stockholder would have been entitled to purchase had it been entitled to acquire such Capital Stock pursuant to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(ii) consider and discuss in good faith modifications proposed by the Qualified Stockholder to the terms and conditions of such portion of the Capital Stock which would otherwise be issued to the Qualified Stockholder such that the Company would not be required to obtain stockholder approval in respect of the issuance of such new Capital Stock as so modified; and/or (iii) solely to the extent that stockholder approval is required in connection with the issuance of Capital Stock to Persons other than the Qualified Stockholders, use reasonable best efforts to seek stockholder approval in respect of the issuance of any Capital Stock to the Qualified Stockholders.</w:t>
      </w:r>
    </w:p>
    <w:p>
      <w:pPr>
        <w:spacing w:after="0" w:line="20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offering of Capital Stock for consideration in whole or in part other than cash, including securities acquired in exchange therefor (other than securities by their terms so exchangeable), the consideration other than cash shall be deemed to be the fair value thereof as reasonably determined by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fair value as determined by the Board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shall not exceed the aggregate market price of the securities being offered as of the date the Board authorizes the offering of such securities.</w:t>
      </w:r>
    </w:p>
    <w:p>
      <w:pPr>
        <w:spacing w:after="0" w:line="256" w:lineRule="exact"/>
        <w:rPr>
          <w:sz w:val="20"/>
          <w:szCs w:val="20"/>
          <w:color w:val="auto"/>
        </w:rPr>
      </w:pPr>
    </w:p>
    <w:p>
      <w:pPr>
        <w:jc w:val="both"/>
        <w:ind w:firstLine="656"/>
        <w:spacing w:after="0" w:line="250" w:lineRule="auto"/>
        <w:tabs>
          <w:tab w:leader="none" w:pos="120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the Company shall be permitted to sell Capital Stock pursuant to an at-the-market offering program without first offering such Capital Stock to the Stockholders pursuant to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promptly following such sale, each Stockholder shall be offered the right to purchase Capital Stock in such amount necessary to achieve the same economic effect to such Stockholder as contemplated by, and subject to,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if such offer would have been made prior to such sale;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such case there shall be deemed to be no dilution to the Preemptive Percentage (or equivalent concepts used to measure or describe the Stockholder’s percentage ownership of the Common Stock on an as-converted basis) for any purpose under this Agreement (including, for the avoidance of doubt,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of any Stockholder who did not purchase the shares of Capital Stock at the time of the initial sale in such at-the-market offering as a result of the application of </w:t>
      </w:r>
      <w:r>
        <w:rPr>
          <w:rFonts w:ascii="Times New Roman" w:cs="Times New Roman" w:eastAsia="Times New Roman" w:hAnsi="Times New Roman"/>
          <w:sz w:val="20"/>
          <w:szCs w:val="20"/>
          <w:u w:val="single" w:color="auto"/>
          <w:color w:val="auto"/>
        </w:rPr>
        <w:t>Section 4.2(f)</w:t>
      </w:r>
      <w:r>
        <w:rPr>
          <w:rFonts w:ascii="Times New Roman" w:cs="Times New Roman" w:eastAsia="Times New Roman" w:hAnsi="Times New Roman"/>
          <w:sz w:val="20"/>
          <w:szCs w:val="20"/>
          <w:color w:val="auto"/>
        </w:rPr>
        <w:t xml:space="preserve"> until such Stockholder has exercised or declined to exercise or waived its rights under the first proviso of this </w:t>
      </w:r>
      <w:r>
        <w:rPr>
          <w:rFonts w:ascii="Times New Roman" w:cs="Times New Roman" w:eastAsia="Times New Roman" w:hAnsi="Times New Roman"/>
          <w:sz w:val="20"/>
          <w:szCs w:val="20"/>
          <w:u w:val="single" w:color="auto"/>
          <w:color w:val="auto"/>
        </w:rPr>
        <w:t>Section 4.2(f)</w:t>
      </w:r>
      <w:r>
        <w:rPr>
          <w:rFonts w:ascii="Times New Roman" w:cs="Times New Roman" w:eastAsia="Times New Roman" w:hAnsi="Times New Roman"/>
          <w:sz w:val="20"/>
          <w:szCs w:val="20"/>
          <w:color w:val="auto"/>
        </w:rPr>
        <w:t xml:space="preserve"> with respect to such proposed issuance of Capital Stock and, for the avoidance of doubt, in the case of any such decline to exercise or waiver of rights under the first proviso of this </w:t>
      </w:r>
      <w:r>
        <w:rPr>
          <w:rFonts w:ascii="Times New Roman" w:cs="Times New Roman" w:eastAsia="Times New Roman" w:hAnsi="Times New Roman"/>
          <w:sz w:val="20"/>
          <w:szCs w:val="20"/>
          <w:u w:val="single" w:color="auto"/>
          <w:color w:val="auto"/>
        </w:rPr>
        <w:t>Section 4.2(f)</w:t>
      </w:r>
      <w:r>
        <w:rPr>
          <w:rFonts w:ascii="Times New Roman" w:cs="Times New Roman" w:eastAsia="Times New Roman" w:hAnsi="Times New Roman"/>
          <w:sz w:val="20"/>
          <w:szCs w:val="20"/>
          <w:color w:val="auto"/>
        </w:rPr>
        <w:t>, the Preemptive Percentage shall be diluted accordingly.</w:t>
      </w:r>
    </w:p>
    <w:p>
      <w:pPr>
        <w:spacing w:after="0" w:line="213" w:lineRule="exact"/>
        <w:rPr>
          <w:rFonts w:ascii="Times New Roman" w:cs="Times New Roman" w:eastAsia="Times New Roman" w:hAnsi="Times New Roman"/>
          <w:sz w:val="20"/>
          <w:szCs w:val="20"/>
          <w:color w:val="auto"/>
        </w:rPr>
      </w:pPr>
    </w:p>
    <w:p>
      <w:pPr>
        <w:jc w:val="both"/>
        <w:ind w:firstLine="656"/>
        <w:spacing w:after="0" w:line="258" w:lineRule="auto"/>
        <w:tabs>
          <w:tab w:leader="none" w:pos="120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that limits the ability of a Person to assign or transfer its rights hereunder, a Participating Stockholder may designate any of its Permitted Transferees to purchase all or part of the shares of Capital Stock offered pursuant to </w:t>
      </w:r>
      <w:r>
        <w:rPr>
          <w:rFonts w:ascii="Times New Roman" w:cs="Times New Roman" w:eastAsia="Times New Roman" w:hAnsi="Times New Roman"/>
          <w:sz w:val="20"/>
          <w:szCs w:val="20"/>
          <w:u w:val="single" w:color="auto"/>
          <w:color w:val="auto"/>
        </w:rPr>
        <w:t>Section 4.2(a)</w:t>
      </w:r>
      <w:r>
        <w:rPr>
          <w:rFonts w:ascii="Times New Roman" w:cs="Times New Roman" w:eastAsia="Times New Roman" w:hAnsi="Times New Roman"/>
          <w:sz w:val="20"/>
          <w:szCs w:val="20"/>
          <w:color w:val="auto"/>
        </w:rPr>
        <w:t>; provided that such Participating Stockholder shall remain obligated to consummate the purchase if such designees fail to do so.</w:t>
      </w:r>
    </w:p>
    <w:p>
      <w:pPr>
        <w:spacing w:after="0" w:line="20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TERMINATION</w:t>
      </w:r>
    </w:p>
    <w:p>
      <w:pPr>
        <w:spacing w:after="0" w:line="2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Section 5.1 </w:t>
      </w:r>
      <w:r>
        <w:rPr>
          <w:rFonts w:ascii="Times New Roman" w:cs="Times New Roman" w:eastAsia="Times New Roman" w:hAnsi="Times New Roman"/>
          <w:sz w:val="20"/>
          <w:szCs w:val="20"/>
          <w:b w:val="1"/>
          <w:bCs w:val="1"/>
          <w:u w:val="single" w:color="auto"/>
          <w:color w:val="auto"/>
        </w:rPr>
        <w:t>Termination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terminate with respect to any particular Stockholder upon the mutual agreement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writing among the Company and such Stockholder;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Agreement shall terminate automatically as to any particular Stockholder and its Permitted Transferees (within the meaning of clauses (i) and (ii) of such defined term) at such time as such Stockholder no longer beneficially owns at least 5% of the outstanding shares of Common Stock (on an as-converted basis) at any time.</w:t>
      </w:r>
    </w:p>
    <w:p>
      <w:pPr>
        <w:spacing w:after="0" w:line="21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23"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6.1</w:t>
      </w:r>
      <w:r>
        <w:rPr>
          <w:sz w:val="20"/>
          <w:szCs w:val="20"/>
          <w:color w:val="auto"/>
        </w:rPr>
        <w:tab/>
      </w:r>
      <w:r>
        <w:rPr>
          <w:rFonts w:ascii="Times New Roman" w:cs="Times New Roman" w:eastAsia="Times New Roman" w:hAnsi="Times New Roman"/>
          <w:sz w:val="19"/>
          <w:szCs w:val="19"/>
          <w:b w:val="1"/>
          <w:bCs w:val="1"/>
          <w:u w:val="single" w:color="auto"/>
          <w:color w:val="auto"/>
        </w:rPr>
        <w:t>Patents</w:t>
      </w:r>
      <w:r>
        <w:rPr>
          <w:rFonts w:ascii="Times New Roman" w:cs="Times New Roman" w:eastAsia="Times New Roman" w:hAnsi="Times New Roman"/>
          <w:sz w:val="19"/>
          <w:szCs w:val="19"/>
          <w:b w:val="1"/>
          <w:bCs w:val="1"/>
          <w:color w:val="auto"/>
        </w:rPr>
        <w:t>.</w:t>
      </w:r>
    </w:p>
    <w:p>
      <w:pPr>
        <w:spacing w:after="0" w:line="256" w:lineRule="exact"/>
        <w:rPr>
          <w:sz w:val="20"/>
          <w:szCs w:val="20"/>
          <w:color w:val="auto"/>
        </w:rPr>
      </w:pPr>
    </w:p>
    <w:p>
      <w:pPr>
        <w:jc w:val="both"/>
        <w:ind w:firstLine="656"/>
        <w:spacing w:after="0" w:line="254" w:lineRule="auto"/>
        <w:tabs>
          <w:tab w:leader="none" w:pos="115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Right of First Offer</w:t>
      </w:r>
      <w:r>
        <w:rPr>
          <w:rFonts w:ascii="Times New Roman" w:cs="Times New Roman" w:eastAsia="Times New Roman" w:hAnsi="Times New Roman"/>
          <w:sz w:val="20"/>
          <w:szCs w:val="20"/>
          <w:color w:val="auto"/>
        </w:rPr>
        <w:t>. Without limiting the rights of the Charter Stockholder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if the Company or any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contemplates the sale or other disposition of any patent or patent application (patents and patent applications collectively, the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other than in connection with the sale of all or substantially all of the Company’s business, a Change of Control or a sale or transfer to or between the Company and its Subsidiaries, the Company shall first make an offering of each such Patent to the Charter Stockholder in accordance with the following provisions:</w:t>
      </w:r>
    </w:p>
    <w:p>
      <w:pPr>
        <w:spacing w:after="0" w:line="214" w:lineRule="exact"/>
        <w:rPr>
          <w:rFonts w:ascii="Times New Roman" w:cs="Times New Roman" w:eastAsia="Times New Roman" w:hAnsi="Times New Roman"/>
          <w:sz w:val="20"/>
          <w:szCs w:val="20"/>
          <w:color w:val="auto"/>
        </w:rPr>
      </w:pPr>
    </w:p>
    <w:p>
      <w:pPr>
        <w:ind w:right="20" w:firstLine="1304"/>
        <w:spacing w:after="0" w:line="273" w:lineRule="auto"/>
        <w:tabs>
          <w:tab w:leader="none" w:pos="181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deliver a written notice (the “</w:t>
      </w:r>
      <w:r>
        <w:rPr>
          <w:rFonts w:ascii="Times New Roman" w:cs="Times New Roman" w:eastAsia="Times New Roman" w:hAnsi="Times New Roman"/>
          <w:sz w:val="20"/>
          <w:szCs w:val="20"/>
          <w:b w:val="1"/>
          <w:bCs w:val="1"/>
          <w:color w:val="auto"/>
        </w:rPr>
        <w:t>Patent ROFO Notice</w:t>
      </w:r>
      <w:r>
        <w:rPr>
          <w:rFonts w:ascii="Times New Roman" w:cs="Times New Roman" w:eastAsia="Times New Roman" w:hAnsi="Times New Roman"/>
          <w:sz w:val="20"/>
          <w:szCs w:val="20"/>
          <w:color w:val="auto"/>
        </w:rPr>
        <w:t>”) to the Charter Stockholder stating (A) its bona fide intention to sell or otherwise dispose of each such Patent,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79" w:name="page80"/>
    <w:bookmarkEnd w:id="79"/>
    <w:p>
      <w:pPr>
        <w:ind w:firstLine="8"/>
        <w:spacing w:after="0" w:line="283" w:lineRule="auto"/>
        <w:tabs>
          <w:tab w:leader="none" w:pos="3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the identity of all contemplated parties to such sale or disposition, (C) each Patent to be disposed, and (D) the price and the terms and conditions upon which the Company intends to dispose of such Patents.</w:t>
      </w:r>
    </w:p>
    <w:p>
      <w:pPr>
        <w:spacing w:after="0" w:line="173" w:lineRule="exact"/>
        <w:rPr>
          <w:rFonts w:ascii="Times New Roman" w:cs="Times New Roman" w:eastAsia="Times New Roman" w:hAnsi="Times New Roman"/>
          <w:sz w:val="20"/>
          <w:szCs w:val="20"/>
          <w:color w:val="auto"/>
        </w:rPr>
      </w:pPr>
    </w:p>
    <w:p>
      <w:pPr>
        <w:jc w:val="both"/>
        <w:ind w:firstLine="1304"/>
        <w:spacing w:after="0" w:line="252" w:lineRule="auto"/>
        <w:tabs>
          <w:tab w:leader="none" w:pos="1867"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forty-five (45) business days after receipt of the Patent ROFO Notice, the Charter Stockholder may elect to purchase all or a portion of the Patents identified in such Patent ROFO Notice at the price and on the terms and conditions specified in the Patent ROFO Notice, by providing written notice to the Company. If the Charter Stockholder does not elect to purchase all of the Patents identified in such Patent ROFO Notice within forty-five (45) business days after the receipt of the Patent ROFO Notice, the Company or its applicable Subsidiary shall have forty-five (45) business days thereafter to sell the remaining Patents in respect of which the Charter Stockholder’s rights were not exercised pursuant to this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If neither the Company nor its applicable Subsidiary has sold such remaining Patents within forty-five (45) business days of the Patent ROFO Notice, the Company shall not, and shall cause its Subsidiaries not to, thereafter dispose of any such Patents without first offering such Patents to the Charter Stockholder in the manner provided in this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w:t>
      </w:r>
    </w:p>
    <w:p>
      <w:pPr>
        <w:spacing w:after="0" w:line="212" w:lineRule="exact"/>
        <w:rPr>
          <w:rFonts w:ascii="Times New Roman" w:cs="Times New Roman" w:eastAsia="Times New Roman" w:hAnsi="Times New Roman"/>
          <w:sz w:val="20"/>
          <w:szCs w:val="20"/>
          <w:color w:val="auto"/>
        </w:rPr>
      </w:pPr>
    </w:p>
    <w:p>
      <w:pPr>
        <w:jc w:val="both"/>
        <w:ind w:firstLine="656"/>
        <w:spacing w:after="0" w:line="254" w:lineRule="auto"/>
        <w:tabs>
          <w:tab w:leader="none" w:pos="112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Right of First Refusal</w:t>
      </w:r>
      <w:r>
        <w:rPr>
          <w:rFonts w:ascii="Times New Roman" w:cs="Times New Roman" w:eastAsia="Times New Roman" w:hAnsi="Times New Roman"/>
          <w:sz w:val="20"/>
          <w:szCs w:val="20"/>
          <w:color w:val="auto"/>
        </w:rPr>
        <w:t>. Without limiting the rights of the Charter Stockholder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if the Company or any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Subsidiaries receives a bona fide written offer with respect to the sale or other disposition of any Patents, other than in connection with the sale of all or substantially all of the Company’s business, a Change of Control or a sale or transfer to or between the Company and its Subsidiaries (such sale or other disposition, a “</w:t>
      </w:r>
      <w:r>
        <w:rPr>
          <w:rFonts w:ascii="Times New Roman" w:cs="Times New Roman" w:eastAsia="Times New Roman" w:hAnsi="Times New Roman"/>
          <w:sz w:val="20"/>
          <w:szCs w:val="20"/>
          <w:b w:val="1"/>
          <w:bCs w:val="1"/>
          <w:color w:val="auto"/>
        </w:rPr>
        <w:t>Subject Patent Transaction</w:t>
      </w:r>
      <w:r>
        <w:rPr>
          <w:rFonts w:ascii="Times New Roman" w:cs="Times New Roman" w:eastAsia="Times New Roman" w:hAnsi="Times New Roman"/>
          <w:sz w:val="20"/>
          <w:szCs w:val="20"/>
          <w:color w:val="auto"/>
        </w:rPr>
        <w:t>”), the Company shall not, and shall cause Subsidiaries not to, enter into such Subject Patent Transaction except in accordance with the following provisions:</w:t>
      </w:r>
    </w:p>
    <w:p>
      <w:pPr>
        <w:spacing w:after="0" w:line="218"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1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Company or any of its Subsidiaries receives a bona fide written offer for a Subject Patent Transaction that the Company or the applicable Subsidiary desires to accept, the Company shall, within three business days following receipt of such offer, deliver, together with a copy of such offer, a written notice (the “</w:t>
      </w:r>
      <w:r>
        <w:rPr>
          <w:rFonts w:ascii="Times New Roman" w:cs="Times New Roman" w:eastAsia="Times New Roman" w:hAnsi="Times New Roman"/>
          <w:sz w:val="20"/>
          <w:szCs w:val="20"/>
          <w:b w:val="1"/>
          <w:bCs w:val="1"/>
          <w:color w:val="auto"/>
        </w:rPr>
        <w:t>Patent ROFR Notice</w:t>
      </w:r>
      <w:r>
        <w:rPr>
          <w:rFonts w:ascii="Times New Roman" w:cs="Times New Roman" w:eastAsia="Times New Roman" w:hAnsi="Times New Roman"/>
          <w:sz w:val="20"/>
          <w:szCs w:val="20"/>
          <w:color w:val="auto"/>
        </w:rPr>
        <w:t>”) to the Charter Stockholder stating (A) its bona fide intention to enter into such Subject Patent Transaction, (B) the identity of all proposed parties to such Subject Patent Transaction, (C) the Patents subject to the Subject Patent Transaction, and (D) the price and the terms and conditions of the written offer, upon which the Company proposes to dispose of such Patents (including the proposed date of the closing of the Subject Patent Transaction, which shall in no event be less than forty-five (45) business days from the date of the Patent ROFR Notice) (clauses (B) through (D), collectively, the “</w:t>
      </w:r>
      <w:r>
        <w:rPr>
          <w:rFonts w:ascii="Times New Roman" w:cs="Times New Roman" w:eastAsia="Times New Roman" w:hAnsi="Times New Roman"/>
          <w:sz w:val="20"/>
          <w:szCs w:val="20"/>
          <w:b w:val="1"/>
          <w:bCs w:val="1"/>
          <w:color w:val="auto"/>
        </w:rPr>
        <w:t>Minimum Patent Terms</w:t>
      </w:r>
      <w:r>
        <w:rPr>
          <w:rFonts w:ascii="Times New Roman" w:cs="Times New Roman" w:eastAsia="Times New Roman" w:hAnsi="Times New Roman"/>
          <w:sz w:val="20"/>
          <w:szCs w:val="20"/>
          <w:color w:val="auto"/>
        </w:rPr>
        <w:t>”). The Patent ROFR Notice shall constitute the Company’s irrevocable, binding offer to sell or otherwise dispose the Patents to the Charter Stockholder pursuant to the Minimum Patent Terms.</w:t>
      </w:r>
    </w:p>
    <w:p>
      <w:pPr>
        <w:spacing w:after="0" w:line="220" w:lineRule="exact"/>
        <w:rPr>
          <w:sz w:val="20"/>
          <w:szCs w:val="20"/>
          <w:color w:val="auto"/>
        </w:rPr>
      </w:pPr>
    </w:p>
    <w:p>
      <w:pPr>
        <w:jc w:val="both"/>
        <w:ind w:firstLine="1304"/>
        <w:spacing w:after="0" w:line="252" w:lineRule="auto"/>
        <w:tabs>
          <w:tab w:leader="none" w:pos="18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forty-five (45) business days after receipt of the Patent ROFR Notice, the Charter Stockholder may elect to purchase all or a portion of the Patents identified in such Patent ROFR Notice at the price and on the terms and conditions specified in the Patent ROFR Notice, by providing written notice to the Company. If the Charter Stockholder does not elect to purchase all of the Patents identified in such Patent ROFR Notice within forty-five (45) business days after the receipt of the Patent ROFR Notice, the Company or its applicable Subsidiary shall have forty-five (45) business days thereafter to sell the remaining Patents in respect of which the Charter Stockholder’s rights were not exercised pursuant to this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at a price not lower, and upon other terms and conditions that are not more favorable to the purchasers thereof in any material respect, than the price and the terms and conditions specified in the Patent ROFR Notice. If neither the Company nor its applicable Subsidiary has consummated the sale or other disposition of such remaining Patents within forty-five (45) business days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80" w:name="page81"/>
    <w:bookmarkEnd w:id="80"/>
    <w:p>
      <w:pPr>
        <w:spacing w:after="0" w:line="283" w:lineRule="auto"/>
        <w:rPr>
          <w:sz w:val="20"/>
          <w:szCs w:val="20"/>
          <w:color w:val="auto"/>
        </w:rPr>
      </w:pPr>
      <w:r>
        <w:rPr>
          <w:rFonts w:ascii="Times New Roman" w:cs="Times New Roman" w:eastAsia="Times New Roman" w:hAnsi="Times New Roman"/>
          <w:sz w:val="20"/>
          <w:szCs w:val="20"/>
          <w:color w:val="auto"/>
        </w:rPr>
        <w:t xml:space="preserve">of the Patent ROFR Notice, the Company shall not, and shall cause its Subsidiaries not to, thereafter sell or otherwise dispose of any such Patents without first offering such Patents to the Charter Stockholder in the manner provided in this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56"/>
        <w:spacing w:after="0" w:line="258" w:lineRule="auto"/>
        <w:tabs>
          <w:tab w:leader="none" w:pos="120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Beneficiary</w:t>
      </w:r>
      <w:r>
        <w:rPr>
          <w:rFonts w:ascii="Times New Roman" w:cs="Times New Roman" w:eastAsia="Times New Roman" w:hAnsi="Times New Roman"/>
          <w:sz w:val="20"/>
          <w:szCs w:val="20"/>
          <w:color w:val="auto"/>
        </w:rPr>
        <w:t>.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may only be enforced by, and shall inure to the benefit of only, the Charter Stockholder,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Company and their respective successors and permitted assigns, and neither the Liberty Broadband Stockholder nor the Cerberus Stockholder shall have any right to enforce the provisions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Neither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nor any of the rights or obligations hereunder shall be assigned or delegated by the Charter Stockholder (other than to an Affiliate thereof) or the Company without the prior written consent of the other party.</w:t>
      </w:r>
    </w:p>
    <w:p>
      <w:pPr>
        <w:spacing w:after="0" w:line="19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6.2 </w:t>
      </w: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requests, demands and other communications under this Agreement shall be in writing and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personally delivered, sent by nationally recognized overnight courier, mailed by registered or certified mail or be sent by electronic mail to such party at the address set forth below (or such other address as shall be specified by like notice). Notices will be deemed to have been duly given hereunder if (i) personally delivered, when received, (ii) sent by nationally recognized overnight courier, one business day after deposit with the nationally recognized overnight courier, (iii) mailed by registered or certified mail, five business days after the date on which it is so mailed, and (iv) sent by electronic mail with confirmed receipt by the intended recipient thereof on the date sent so long as such communication is transmitted before 5:00 p.m. in the time zone of the receiving party on a business day, otherwise, on the next business day;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notice sent pursuant to clauses (i), (ii) or (iii) shall be accompanied by notice sent by email within one business day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dispatch by such method.</w:t>
      </w:r>
    </w:p>
    <w:p>
      <w:pPr>
        <w:spacing w:after="0" w:line="220" w:lineRule="exact"/>
        <w:rPr>
          <w:sz w:val="20"/>
          <w:szCs w:val="20"/>
          <w:color w:val="auto"/>
        </w:rPr>
      </w:pPr>
    </w:p>
    <w:p>
      <w:pPr>
        <w:ind w:left="1120" w:hanging="464"/>
        <w:spacing w:after="0"/>
        <w:tabs>
          <w:tab w:leader="none" w:pos="11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comScore,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11950 Democracy Drive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Suite 600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Reston, Virginia 20190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Ashley Wright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[__________]</w:t>
      </w:r>
    </w:p>
    <w:p>
      <w:pPr>
        <w:spacing w:after="0" w:line="241" w:lineRule="exact"/>
        <w:rPr>
          <w:sz w:val="20"/>
          <w:szCs w:val="20"/>
          <w:color w:val="auto"/>
        </w:rPr>
      </w:pPr>
    </w:p>
    <w:p>
      <w:pPr>
        <w:ind w:left="1140" w:hanging="484"/>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Stockholders, to the addresses set forth on the signature pages hereto.</w:t>
      </w: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6.3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of this Agreement shall be deemed severable, and the invalidity or unenforceability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provision shall not affect the validity or enforceability of the other provisions hereof. If any provision of this Agreement, or the application thereof to any person or any circumstance, is found to be invalid or unenforceable in any jurisdiction, i) a suitable and equitable provision shall be substituted therefor in order to carry out, so far as may be valid and enforceable, the intent and purpose of such invalid or unenforceable provision and ii)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20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6.4 </w:t>
      </w: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may be executed in one or more counterparts, each of which shall be deemed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and all of which, taken together, shall be considered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6.5 </w:t>
      </w:r>
      <w:r>
        <w:rPr>
          <w:rFonts w:ascii="Times New Roman" w:cs="Times New Roman" w:eastAsia="Times New Roman" w:hAnsi="Times New Roman"/>
          <w:sz w:val="20"/>
          <w:szCs w:val="20"/>
          <w:b w:val="1"/>
          <w:bCs w:val="1"/>
          <w:u w:val="single" w:color="auto"/>
          <w:color w:val="auto"/>
        </w:rPr>
        <w:t>Entire Agreement; No Third-Party Beneficiaries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 constitutes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supersedes all other prior agreements, both written and oral, among the parties hereto with respect to the subject matter hereof and ii) is not intended to confer upon any person, other than the parties hereto, any rights or remedies hereunder.</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Section 6.6 </w:t>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party hereto shall execute, deliver, acknowledge and file such other documents and take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further actions as may be reasonably requested from time to time by the other parties hereto to give effect to and carry out the transactions contemplated herein.</w:t>
      </w:r>
    </w:p>
    <w:p>
      <w:pPr>
        <w:spacing w:after="0" w:line="20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6.7</w:t>
      </w:r>
      <w:r>
        <w:rPr>
          <w:sz w:val="20"/>
          <w:szCs w:val="20"/>
          <w:color w:val="auto"/>
        </w:rPr>
        <w:tab/>
      </w:r>
      <w:r>
        <w:rPr>
          <w:rFonts w:ascii="Times New Roman" w:cs="Times New Roman" w:eastAsia="Times New Roman" w:hAnsi="Times New Roman"/>
          <w:sz w:val="19"/>
          <w:szCs w:val="19"/>
          <w:b w:val="1"/>
          <w:bCs w:val="1"/>
          <w:u w:val="single" w:color="auto"/>
          <w:color w:val="auto"/>
        </w:rPr>
        <w:t>Governing Law; Equitable Remedies</w:t>
      </w:r>
      <w:r>
        <w:rPr>
          <w:rFonts w:ascii="Times New Roman" w:cs="Times New Roman" w:eastAsia="Times New Roman" w:hAnsi="Times New Roman"/>
          <w:sz w:val="19"/>
          <w:szCs w:val="19"/>
          <w:b w:val="1"/>
          <w:bCs w:val="1"/>
          <w:color w:val="auto"/>
        </w:rPr>
        <w:t>.</w:t>
      </w:r>
    </w:p>
    <w:p>
      <w:pPr>
        <w:spacing w:after="0" w:line="247" w:lineRule="exact"/>
        <w:rPr>
          <w:sz w:val="20"/>
          <w:szCs w:val="20"/>
          <w:color w:val="auto"/>
        </w:rPr>
      </w:pPr>
    </w:p>
    <w:p>
      <w:pPr>
        <w:jc w:val="both"/>
        <w:ind w:firstLine="656"/>
        <w:spacing w:after="0" w:line="257" w:lineRule="auto"/>
        <w:tabs>
          <w:tab w:leader="none" w:pos="116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all actions, proceedings or counterclaims (whether based on contract, tort or otherwise) arising out of or relating to this Agreement or the actions of the Stockholders or the Company in the negotiation, administration, performance and enforcement thereof, shall be governed by, and construed in accordance with the laws of the State of Delaware, including its statute of limitations, without giving effect to any choice or conflict of laws provision or rule (whether of the State of Delaware or any other jurisdiction) that would cause the application of the laws of any jurisdiction other than the State of Delaware.</w:t>
      </w:r>
    </w:p>
    <w:p>
      <w:pPr>
        <w:spacing w:after="0" w:line="199"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irreparable damage would occur in the event that any of the provisions of this Agreement were not performed in accordance with its specific terms or were otherwise breached. It is accordingly agreed that the parties hereto shall be entitled to an injunction or injunctions and other equitable remedies to prevent breaches of this Agreement and to enforce specifically the terms and provisions hereof in any of the Chosen Courts (as defined below), this being in addition to any other remedy to which they are entitled at law or in equity. Any requirements for the securing or posting of any bond with respect to such remedy are hereby waived by each of the parties hereto. Each party hereto further agrees that, in the event of any action for an injunction or other equitable remedy in respect of such breach or enforcement of specific performance, it will not assert the defense that a remedy at law would be adequate.</w:t>
      </w:r>
    </w:p>
    <w:p>
      <w:pPr>
        <w:spacing w:after="0" w:line="202"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6.8</w:t>
      </w:r>
      <w:r>
        <w:rPr>
          <w:sz w:val="20"/>
          <w:szCs w:val="20"/>
          <w:color w:val="auto"/>
        </w:rPr>
        <w:tab/>
      </w:r>
      <w:r>
        <w:rPr>
          <w:rFonts w:ascii="Times New Roman" w:cs="Times New Roman" w:eastAsia="Times New Roman" w:hAnsi="Times New Roman"/>
          <w:sz w:val="19"/>
          <w:szCs w:val="19"/>
          <w:b w:val="1"/>
          <w:bCs w:val="1"/>
          <w:u w:val="single" w:color="auto"/>
          <w:color w:val="auto"/>
        </w:rPr>
        <w:t>Consent to Jurisdiction</w:t>
      </w:r>
      <w:r>
        <w:rPr>
          <w:rFonts w:ascii="Times New Roman" w:cs="Times New Roman" w:eastAsia="Times New Roman" w:hAnsi="Times New Roman"/>
          <w:sz w:val="19"/>
          <w:szCs w:val="19"/>
          <w:b w:val="1"/>
          <w:bCs w:val="1"/>
          <w:color w:val="auto"/>
        </w:rPr>
        <w:t>.</w:t>
      </w:r>
    </w:p>
    <w:p>
      <w:pPr>
        <w:spacing w:after="0" w:line="260" w:lineRule="exact"/>
        <w:rPr>
          <w:sz w:val="20"/>
          <w:szCs w:val="20"/>
          <w:color w:val="auto"/>
        </w:rPr>
      </w:pPr>
    </w:p>
    <w:p>
      <w:pPr>
        <w:jc w:val="both"/>
        <w:ind w:firstLine="656"/>
        <w:spacing w:after="0" w:line="250" w:lineRule="auto"/>
        <w:tabs>
          <w:tab w:leader="none" w:pos="11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(i) irrevocably consents to the service of the summons and complaint and any other process (whether inside or outside the territorial jurisdiction of the Chosen Courts) in any Legal Proceeding relating to this Agreement, for and on behalf of itself or any of its properties or assets, in accordance with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in such other manner as may be permitted by applicable law, and nothing in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Court of Chancery of the State of Delaware and any state appellate court therefrom within the State of Delaware (or, solely if the Court of Chancery of the State of Delaware declines to accept jurisdiction over a particular matter, any other state or federal court within the State of Delaware) (the “</w:t>
      </w:r>
      <w:r>
        <w:rPr>
          <w:rFonts w:ascii="Times New Roman" w:cs="Times New Roman" w:eastAsia="Times New Roman" w:hAnsi="Times New Roman"/>
          <w:sz w:val="20"/>
          <w:szCs w:val="20"/>
          <w:b w:val="1"/>
          <w:bCs w:val="1"/>
          <w:color w:val="auto"/>
        </w:rPr>
        <w:t>Chosen Courts</w:t>
      </w:r>
      <w:r>
        <w:rPr>
          <w:rFonts w:ascii="Times New Roman" w:cs="Times New Roman" w:eastAsia="Times New Roman" w:hAnsi="Times New Roman"/>
          <w:sz w:val="20"/>
          <w:szCs w:val="20"/>
          <w:color w:val="auto"/>
        </w:rPr>
        <w:t>”) in the event of any dispute or controversy relating to or arising out of this Agreement or the transactions contemplated hereby or thereby; (iii) agrees that it will not attempt to deny or defeat such personal jurisdiction by motion or other request for leave from any such court; (iv) agrees that any Legal Proceeding relating to or arising out of this Agreement or the transactions contemplated hereby or thereby will be brought, tried and determined only in the Chosen Courts; (v) waives any objection that it may now or hereafter have to the venue of any such Legal Proceeding in the Chosen Courts or that such Legal Proceeding was brought in an inconvenient court and agrees not to plead or claim the same; and (vi)</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09"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20"/>
          <w:szCs w:val="20"/>
          <w:color w:val="auto"/>
        </w:rPr>
        <w:t>agrees that it will not bring any Legal Proceeding relating to or arising out of this Agreement or the transactions contemplated hereby or thereby in any court other than the Chosen Courts unless the Chosen Courts issue a final judgment determining that such court lacks jurisdiction. Each Stockholder and the Company agrees that a final judgment and any interim relief (whether equitable or otherwise) in any Legal Proceeding in the Chosen Courts will be conclusive and may be enforced in other jurisdictions by suit on the judgment or in any other manner provided by applicable law.</w:t>
      </w:r>
    </w:p>
    <w:p>
      <w:pPr>
        <w:spacing w:after="0" w:line="219" w:lineRule="exact"/>
        <w:rPr>
          <w:sz w:val="20"/>
          <w:szCs w:val="20"/>
          <w:color w:val="auto"/>
        </w:rPr>
      </w:pPr>
    </w:p>
    <w:p>
      <w:pPr>
        <w:jc w:val="both"/>
        <w:ind w:firstLine="656"/>
        <w:spacing w:after="0" w:line="250" w:lineRule="auto"/>
        <w:tabs>
          <w:tab w:leader="none" w:pos="120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b w:val="1"/>
          <w:bCs w:val="1"/>
          <w:color w:val="auto"/>
        </w:rPr>
        <w:t>Section 6.9</w:t>
      </w:r>
      <w:r>
        <w:rPr>
          <w:sz w:val="20"/>
          <w:szCs w:val="20"/>
          <w:color w:val="auto"/>
        </w:rPr>
        <w:tab/>
      </w:r>
      <w:r>
        <w:rPr>
          <w:rFonts w:ascii="Times New Roman" w:cs="Times New Roman" w:eastAsia="Times New Roman" w:hAnsi="Times New Roman"/>
          <w:sz w:val="19"/>
          <w:szCs w:val="19"/>
          <w:b w:val="1"/>
          <w:bCs w:val="1"/>
          <w:u w:val="single" w:color="auto"/>
          <w:color w:val="auto"/>
        </w:rPr>
        <w:t>Amendments; Waivers</w:t>
      </w:r>
      <w:r>
        <w:rPr>
          <w:rFonts w:ascii="Times New Roman" w:cs="Times New Roman" w:eastAsia="Times New Roman" w:hAnsi="Times New Roman"/>
          <w:sz w:val="19"/>
          <w:szCs w:val="19"/>
          <w:b w:val="1"/>
          <w:bCs w:val="1"/>
          <w:color w:val="auto"/>
        </w:rPr>
        <w:t>.</w:t>
      </w:r>
    </w:p>
    <w:p>
      <w:pPr>
        <w:spacing w:after="0" w:line="260" w:lineRule="exact"/>
        <w:rPr>
          <w:sz w:val="20"/>
          <w:szCs w:val="20"/>
          <w:color w:val="auto"/>
        </w:rPr>
      </w:pPr>
    </w:p>
    <w:p>
      <w:pPr>
        <w:jc w:val="both"/>
        <w:ind w:firstLine="656"/>
        <w:spacing w:after="0" w:line="253" w:lineRule="auto"/>
        <w:tabs>
          <w:tab w:leader="none" w:pos="111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provision of this Agreement may be amended or waived unless such amendment or waiver is in writing and signed (i) in the case of an amendment, by each of the parties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to the extent a party is no longer entitled to rights under a provision in accordance with the terms of this Agreement, an amendment of such provision shall only require a writing signed by the parties then entitled to rights thereunder, and (ii) in the case of a waiver, by each of the parties against whom the waiver is to be effective, subject to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firstLine="656"/>
        <w:spacing w:after="0" w:line="268" w:lineRule="auto"/>
        <w:tabs>
          <w:tab w:leader="none" w:pos="1152"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any party in exercising any right, power or privilege hereunder shall operate as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4"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6.10 </w:t>
      </w:r>
      <w:r>
        <w:rPr>
          <w:rFonts w:ascii="Times New Roman" w:cs="Times New Roman" w:eastAsia="Times New Roman" w:hAnsi="Times New Roman"/>
          <w:sz w:val="20"/>
          <w:szCs w:val="20"/>
          <w:b w:val="1"/>
          <w:bCs w:val="1"/>
          <w:u w:val="single" w:color="auto"/>
          <w:color w:val="auto"/>
        </w:rPr>
        <w:t>Mutual Drafting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deemed to be the joint work product of the parties, and any rule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that a document shall be interpreted or construed against a drafter of such document shall not be applicable.</w:t>
      </w:r>
    </w:p>
    <w:p>
      <w:pPr>
        <w:spacing w:after="0" w:line="165"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Section 6.11 </w:t>
      </w:r>
      <w:r>
        <w:rPr>
          <w:rFonts w:ascii="Times New Roman" w:cs="Times New Roman" w:eastAsia="Times New Roman" w:hAnsi="Times New Roman"/>
          <w:sz w:val="20"/>
          <w:szCs w:val="20"/>
          <w:b w:val="1"/>
          <w:bCs w:val="1"/>
          <w:u w:val="single" w:color="auto"/>
          <w:color w:val="auto"/>
        </w:rPr>
        <w:t>Assignment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Neither this Agreement nor any of the rights or obligations hereunder shall be assigned or delegated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of the parties hereto without the prior written consent of the other parties;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83" w:lineRule="exact"/>
        <w:rPr>
          <w:sz w:val="20"/>
          <w:szCs w:val="20"/>
          <w:color w:val="auto"/>
        </w:rPr>
      </w:pPr>
    </w:p>
    <w:p>
      <w:pPr>
        <w:jc w:val="both"/>
        <w:ind w:firstLine="656"/>
        <w:spacing w:after="0" w:line="261" w:lineRule="auto"/>
        <w:tabs>
          <w:tab w:leader="none" w:pos="114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restrictions in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the rights and obligations of a Stockholder under this Agreement may be assigned to any Permitted Transferee of such Stockholder without the consent of any other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 the Company is, within a reasonable time prior to such assignment, furnished with written notice of the name and address of such Permitted Transferee; and (ii)</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83" w:name="page84"/>
    <w:bookmarkEnd w:id="83"/>
    <w:p>
      <w:pPr>
        <w:ind w:right="20"/>
        <w:spacing w:after="0" w:line="283" w:lineRule="auto"/>
        <w:rPr>
          <w:sz w:val="20"/>
          <w:szCs w:val="20"/>
          <w:color w:val="auto"/>
        </w:rPr>
      </w:pPr>
      <w:r>
        <w:rPr>
          <w:rFonts w:ascii="Times New Roman" w:cs="Times New Roman" w:eastAsia="Times New Roman" w:hAnsi="Times New Roman"/>
          <w:sz w:val="20"/>
          <w:szCs w:val="20"/>
          <w:color w:val="auto"/>
        </w:rPr>
        <w:t>such Permitted Transferee agrees in writing to be bound by the provisions of this Agreement, including the rights, interests and obligations so assigned.</w:t>
      </w:r>
    </w:p>
    <w:p>
      <w:pPr>
        <w:spacing w:after="0" w:line="169" w:lineRule="exact"/>
        <w:rPr>
          <w:sz w:val="20"/>
          <w:szCs w:val="20"/>
          <w:color w:val="auto"/>
        </w:rPr>
      </w:pPr>
    </w:p>
    <w:p>
      <w:pPr>
        <w:jc w:val="both"/>
        <w:ind w:firstLine="656"/>
        <w:spacing w:after="0" w:line="260" w:lineRule="auto"/>
        <w:tabs>
          <w:tab w:leader="none" w:pos="114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Transfer by a Stockholder (each, an “</w:t>
      </w:r>
      <w:r>
        <w:rPr>
          <w:rFonts w:ascii="Times New Roman" w:cs="Times New Roman" w:eastAsia="Times New Roman" w:hAnsi="Times New Roman"/>
          <w:sz w:val="20"/>
          <w:szCs w:val="20"/>
          <w:b w:val="1"/>
          <w:bCs w:val="1"/>
          <w:color w:val="auto"/>
        </w:rPr>
        <w:t>Assigning Stockholder</w:t>
      </w:r>
      <w:r>
        <w:rPr>
          <w:rFonts w:ascii="Times New Roman" w:cs="Times New Roman" w:eastAsia="Times New Roman" w:hAnsi="Times New Roman"/>
          <w:sz w:val="20"/>
          <w:szCs w:val="20"/>
          <w:color w:val="auto"/>
        </w:rPr>
        <w:t xml:space="preserve">”) of least 50% of a Stockholder’s Preferred Stock Ownership and Exchange Common Stock Ownership to a transferee (who is not a Permitted Transferee of such Assigning Stockholder or the Cerberus Stockholder, Liberty Broadband Stockholder or Charter Stockholder), such Assigning Stockholder will have the right, at its election, but subject to the restrictions in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to assign its rights and obligations under this Agreement as follows:</w:t>
      </w:r>
    </w:p>
    <w:p>
      <w:pPr>
        <w:spacing w:after="0" w:line="208"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19"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Assigning Stockholder may elect to cause such transferee to succeed such Assigning Stockholder as such Assigning Stockholder hereunder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as the Cerberus Stockholder, Liberty Broadband Stockholder or Charter Stockholder, as applicable), in which case, (A) such transferee shall be entitled to all of the rights and subject to all restrictions, conditions and obligations of such Assigning Stockholder hereunder (including the rights afforded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and, for the avoidance of doubt, only such transferee’s (and its Permitted Transferees’) ownership of Preferred Stock and Common Stock shall be considered for purposes of such transferee satisfying the applicable ownership thresholds in this Agreement, and (B) if, following such Transfer, such Assigning Stockholder (and its Permitted Transferees) continues to beneficially own at least 5% of the outstanding shares of Common Stock (on an as-converted basis), such Assigning Stockholder shall, for so long as it (and its Permitted Transferees) continues to beneficially own at least 5% of the outstanding shares of Common Stock (on an as-converted basis), remain entitled to all rights and subject to all restrictions, conditions and obligations of a Stockholder generally set forth in this Agreement (but excluding the rights afforded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or</w:t>
      </w:r>
    </w:p>
    <w:p>
      <w:pPr>
        <w:spacing w:after="0" w:line="213"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3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Assigning Stockholder may elect to cause such transferee to be treated as a Stockholder generally hereunder, in which case (A) such transferee shall be entitled to all of the rights and shall be subject to all restrictions, conditions and obligations of a Stockholder generally hereunder (other than rights afforded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and (B) such Assigning Stockholder shall continue as the Assigning Stockholder hereunder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the Cerberus Stockholder, Liberty Broadband Stockholder or Charter Stockholder, as applicable) and remain entitled to all rights and subject to all restrictions, conditions and obligations of such Assigning Stockholder set forth in this Agreement (including the rights afforded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based on such Assigning Stockholder’s and its (and its Permitted Transferees’) ownership of Preferred Stock and Common Stock after giving effect to such Transfer;</w:t>
      </w:r>
    </w:p>
    <w:p>
      <w:pPr>
        <w:spacing w:after="0" w:line="21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such transferee agrees in writing to be bound by the provisions of this Agreement, including the rights, interests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 so assigned.</w:t>
      </w:r>
    </w:p>
    <w:p>
      <w:pPr>
        <w:spacing w:after="0" w:line="196" w:lineRule="exact"/>
        <w:rPr>
          <w:sz w:val="20"/>
          <w:szCs w:val="20"/>
          <w:color w:val="auto"/>
        </w:rPr>
      </w:pPr>
    </w:p>
    <w:p>
      <w:pPr>
        <w:jc w:val="both"/>
        <w:ind w:firstLine="656"/>
        <w:spacing w:after="0" w:line="253" w:lineRule="auto"/>
        <w:tabs>
          <w:tab w:leader="none" w:pos="122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preceding sentence, this Agreement will be binding upon, inure to the benefit of and be enforceable by the parties and their respective successors and permitted assigns. The Company agrees that, if requested by an Assigning Stockholder in connection with a Transfer contemplated by </w:t>
      </w:r>
      <w:r>
        <w:rPr>
          <w:rFonts w:ascii="Times New Roman" w:cs="Times New Roman" w:eastAsia="Times New Roman" w:hAnsi="Times New Roman"/>
          <w:sz w:val="20"/>
          <w:szCs w:val="20"/>
          <w:u w:val="single" w:color="auto"/>
          <w:color w:val="auto"/>
        </w:rPr>
        <w:t>Section 6.11(b)(ii)</w:t>
      </w:r>
      <w:r>
        <w:rPr>
          <w:rFonts w:ascii="Times New Roman" w:cs="Times New Roman" w:eastAsia="Times New Roman" w:hAnsi="Times New Roman"/>
          <w:sz w:val="20"/>
          <w:szCs w:val="20"/>
          <w:color w:val="auto"/>
        </w:rPr>
        <w:t>, prior to the transferee becoming an “interested stockholder” (as such term is defined in Section 203(c)(5) of the DGCL) with respect to the Company, the Board shall approve (x) such transferee Stockholder as an “interested stockholder” within the meaning of Section 203(c)(5) of the DGCL and (y) the receipt of Capital Stock by such transferee Stockholder pursuant to such Transfer for purposes of Section 203(a)(1)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Section 6.12 </w:t>
      </w:r>
      <w:r>
        <w:rPr>
          <w:rFonts w:ascii="Times New Roman" w:cs="Times New Roman" w:eastAsia="Times New Roman" w:hAnsi="Times New Roman"/>
          <w:sz w:val="20"/>
          <w:szCs w:val="20"/>
          <w:b w:val="1"/>
          <w:bCs w:val="1"/>
          <w:u w:val="single" w:color="auto"/>
          <w:color w:val="auto"/>
        </w:rPr>
        <w:t>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Stockholder shall cause to be performed, and hereby guarantees the performance of, all actions,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agreements and obligations set forth in this Agreement to be performed by any of its Subsidiaries and/or Affiliates and representatives. The Company shall cause to be performed, and hereby guarantees the performance of, all actions, agreements and obligations set forth in this Agreement to be performed by any of its Subsidiaries and/or Affiliates and representatives. Each party (including its permitted successors and assigns) further agrees that it shall (a) give timely notice of the terms, conditions and continuing obligations contained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to all of their respective Affiliates and representatives and (b) cause all of their respective Affiliates and representatives not to take, or omit to take, any action which action or omission would violate or cause such party to violate this Agreement.</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Section 6.13 </w:t>
      </w:r>
      <w:r>
        <w:rPr>
          <w:rFonts w:ascii="Times New Roman" w:cs="Times New Roman" w:eastAsia="Times New Roman" w:hAnsi="Times New Roman"/>
          <w:sz w:val="20"/>
          <w:szCs w:val="20"/>
          <w:b w:val="1"/>
          <w:bCs w:val="1"/>
          <w:u w:val="single" w:color="auto"/>
          <w:color w:val="auto"/>
        </w:rPr>
        <w:t>Independent Nature of Stockholders’ Obligations and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obligations of each Stockholder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are several and not joint with the obligations of any other Stockholder, and a Stockholder shall not be responsible in any way for the performance of the obligations of any other Stockholder under this Agreement. Nothing contained herein, and no action taken by a Stockholder pursuant hereto shall be deemed to constitute a partnership, an association, a joint venture or any other kind of entity between the Stockholder and the other Stockholders, or create a presumption that the Stockholder and the other Stockholder(s) are in any way acting in concert or as a group with respect to such obligations or the transactions contemplated by this Agreement. Each Stockholder shall be entitled to independently protect and enforce its rights, including the rights arising out of this Agreement or the Certificate of Designations, and it shall not be necessary for the other Stockholders to be joined as an additional party in any proceeding for such purpose.</w:t>
      </w:r>
    </w:p>
    <w:p>
      <w:pPr>
        <w:spacing w:after="0" w:line="2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Section 6.14 </w:t>
      </w:r>
      <w:r>
        <w:rPr>
          <w:rFonts w:ascii="Times New Roman" w:cs="Times New Roman" w:eastAsia="Times New Roman" w:hAnsi="Times New Roman"/>
          <w:sz w:val="19"/>
          <w:szCs w:val="19"/>
          <w:b w:val="1"/>
          <w:bCs w:val="1"/>
          <w:u w:val="single" w:color="auto"/>
          <w:color w:val="auto"/>
        </w:rPr>
        <w:t>Business Opportunities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the fullest extent permitted by Section 122(17) of the DGCL (or any successor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provision) and except as may be otherwise expressly agreed in writing by the Company and the Stockholders, the Company, on behalf of itself and its Subsidiaries, renounces any interest or expectancy of the Company and its Subsidiaries in, or in being offered an opportunity to participate in, business opportunities, that are from time to time presented to the Stockholders or any of their respective officers, representatives, directors, agents, stockholders, members, partners, Affiliates, Subsidiaries (other than the Company and its Subsidiaries), or any of their respective designees on the Board and/or any of their respective representatives who, from time to time, may act as officers of the Company, even if the opportunity is one that the Company or its Subsidiaries might reasonably be deemed to have pursued or had the ability or desire to pursue if granted the opportunity to do so, and no such person shall be liable to the Company or any of its Subsidiaries for breach of any fiduciary or other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the Company or its Subsidiaries unless such business opportunity is disclosed to the applicable director or officer in his or her capacity as such. Any Person purchasing or otherwise acquiring any interest in any shares of Capital Stock of the Company shall be deemed to have notice of and consented to the provisions of this </w:t>
      </w:r>
      <w:r>
        <w:rPr>
          <w:rFonts w:ascii="Times New Roman" w:cs="Times New Roman" w:eastAsia="Times New Roman" w:hAnsi="Times New Roman"/>
          <w:sz w:val="19"/>
          <w:szCs w:val="19"/>
          <w:u w:val="single" w:color="auto"/>
          <w:color w:val="auto"/>
        </w:rPr>
        <w:t>Section 6.14</w:t>
      </w:r>
      <w:r>
        <w:rPr>
          <w:rFonts w:ascii="Times New Roman" w:cs="Times New Roman" w:eastAsia="Times New Roman" w:hAnsi="Times New Roman"/>
          <w:sz w:val="19"/>
          <w:szCs w:val="19"/>
          <w:color w:val="auto"/>
        </w:rPr>
        <w:t xml:space="preserve">. Neither the alteration, amendment or repeal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6.14</w:t>
      </w:r>
      <w:r>
        <w:rPr>
          <w:rFonts w:ascii="Times New Roman" w:cs="Times New Roman" w:eastAsia="Times New Roman" w:hAnsi="Times New Roman"/>
          <w:sz w:val="19"/>
          <w:szCs w:val="19"/>
          <w:color w:val="auto"/>
        </w:rPr>
        <w:t xml:space="preserve">, nor the adoption of any provision of the Certificate of Incorporation or the Certificate of Designations inconsistent with this </w:t>
      </w:r>
      <w:r>
        <w:rPr>
          <w:rFonts w:ascii="Times New Roman" w:cs="Times New Roman" w:eastAsia="Times New Roman" w:hAnsi="Times New Roman"/>
          <w:sz w:val="19"/>
          <w:szCs w:val="19"/>
          <w:u w:val="single" w:color="auto"/>
          <w:color w:val="auto"/>
        </w:rPr>
        <w:t>Section</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nor, to the fullest extent permitted by Delaware law, any modification of law, shall eliminate or reduce the effect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in respect of any business opportunity first identified or any other matter occurring, or any cause of action, suit or claim that, but for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would accrue or arise, prior to such alteration, amendment, repeal, adoption or modification. If any provision or provisions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shall be held to be invalid, illegal or unenforceable as applied to any circumstance for any reason whatsoever: (a) the validity, legality and enforceability of such provisions in any other circumstance and of the remaining provisions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(including, without limitation, each portion of 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09" w:right="339" w:bottom="1440" w:gutter="0" w:footer="0" w:header="0"/>
        </w:sectPr>
      </w:pPr>
    </w:p>
    <w:bookmarkStart w:id="85" w:name="page86"/>
    <w:bookmarkEnd w:id="85"/>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paragraph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containing any such provision held to be invalid, illegal or unenforceable that is not itself held to be invalid, illegal or unenforceable) shall not in any way be affected or impaired thereby and (b) to the fullest extent possible, the provisions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(including, without limitation, each such portion of any paragraph of this </w:t>
      </w:r>
      <w:r>
        <w:rPr>
          <w:rFonts w:ascii="Times New Roman" w:cs="Times New Roman" w:eastAsia="Times New Roman" w:hAnsi="Times New Roman"/>
          <w:sz w:val="20"/>
          <w:szCs w:val="20"/>
          <w:u w:val="single" w:color="auto"/>
          <w:color w:val="auto"/>
        </w:rPr>
        <w:t>Section 6.14</w:t>
      </w:r>
      <w:r>
        <w:rPr>
          <w:rFonts w:ascii="Times New Roman" w:cs="Times New Roman" w:eastAsia="Times New Roman" w:hAnsi="Times New Roman"/>
          <w:sz w:val="20"/>
          <w:szCs w:val="20"/>
          <w:color w:val="auto"/>
        </w:rPr>
        <w:t xml:space="preserve">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6.14</w:t>
      </w:r>
      <w:r>
        <w:rPr>
          <w:rFonts w:ascii="Times New Roman" w:cs="Times New Roman" w:eastAsia="Times New Roman" w:hAnsi="Times New Roman"/>
          <w:sz w:val="20"/>
          <w:szCs w:val="20"/>
          <w:color w:val="auto"/>
        </w:rPr>
        <w:t xml:space="preserve"> shall not limit any protections or defenses available to, or indemnification or advancement rights of, any director, officer, employee or agent of the Company under the Certificate of Incorporation, the Bylaws, any other agreement between the Company and such director, officer, employee or agent or applicable law.</w:t>
      </w:r>
    </w:p>
    <w:p>
      <w:pPr>
        <w:spacing w:after="0" w:line="21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b w:val="1"/>
          <w:bCs w:val="1"/>
          <w:color w:val="auto"/>
        </w:rPr>
        <w:t>Section 6.15</w:t>
      </w:r>
      <w:r>
        <w:rPr>
          <w:sz w:val="20"/>
          <w:szCs w:val="20"/>
          <w:color w:val="auto"/>
        </w:rPr>
        <w:tab/>
      </w:r>
      <w:r>
        <w:rPr>
          <w:rFonts w:ascii="Times New Roman" w:cs="Times New Roman" w:eastAsia="Times New Roman" w:hAnsi="Times New Roman"/>
          <w:sz w:val="19"/>
          <w:szCs w:val="19"/>
          <w:b w:val="1"/>
          <w:bCs w:val="1"/>
          <w:u w:val="single" w:color="auto"/>
          <w:color w:val="auto"/>
        </w:rPr>
        <w:t>Information Rights</w:t>
      </w:r>
      <w:r>
        <w:rPr>
          <w:rFonts w:ascii="Times New Roman" w:cs="Times New Roman" w:eastAsia="Times New Roman" w:hAnsi="Times New Roman"/>
          <w:sz w:val="19"/>
          <w:szCs w:val="19"/>
          <w:b w:val="1"/>
          <w:bCs w:val="1"/>
          <w:color w:val="auto"/>
        </w:rPr>
        <w:t>.</w:t>
      </w:r>
    </w:p>
    <w:p>
      <w:pPr>
        <w:spacing w:after="0" w:line="247" w:lineRule="exact"/>
        <w:rPr>
          <w:sz w:val="20"/>
          <w:szCs w:val="20"/>
          <w:color w:val="auto"/>
        </w:rPr>
      </w:pPr>
    </w:p>
    <w:p>
      <w:pPr>
        <w:jc w:val="both"/>
        <w:ind w:firstLine="656"/>
        <w:spacing w:after="0" w:line="268" w:lineRule="auto"/>
        <w:tabs>
          <w:tab w:leader="none" w:pos="11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Date and so long as the Stockholder continues to beneficially own a number of shares of Preferred Stock representing at least 5% of the outstanding shares of Common Stock (on an as-converted basis), the Company agrees to provide each Stockholder and its Permitted Transferees with the following:</w:t>
      </w:r>
    </w:p>
    <w:p>
      <w:pPr>
        <w:spacing w:after="0" w:line="188" w:lineRule="exact"/>
        <w:rPr>
          <w:rFonts w:ascii="Times New Roman" w:cs="Times New Roman" w:eastAsia="Times New Roman" w:hAnsi="Times New Roman"/>
          <w:sz w:val="20"/>
          <w:szCs w:val="20"/>
          <w:color w:val="auto"/>
        </w:rPr>
      </w:pPr>
    </w:p>
    <w:p>
      <w:pPr>
        <w:jc w:val="both"/>
        <w:ind w:firstLine="1304"/>
        <w:spacing w:after="0" w:line="257" w:lineRule="auto"/>
        <w:tabs>
          <w:tab w:leader="none" w:pos="1835"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90 days after the end of each fiscal year of the Company, (A) an audited, consolidated balance sheet of the Company and its Subsidiaries as of the end of such fiscal year, (B) an audited, consolidated income statement of the Company and its Subsidiaries for such fiscal year and (C) an audited, consolidated statement of cash flows of the Company and its Subsidiaries for such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requirement shall be deemed to have been satisfied if on or prior to such date the Company files its annual report on Form 10-K for the applicable fiscal year with the SEC;</w:t>
      </w:r>
    </w:p>
    <w:p>
      <w:pPr>
        <w:spacing w:after="0" w:line="19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84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45 days after the end of each of the first three quarters of each fiscal year of the Company, (A) an unaudited, consolidated balance sheet of the Company and its Subsidiaries as of the end of such fiscal quarter, (B) an unaudited, consolidated income statement of the Company and its Subsidiaries for such fiscal quarter and (C) an unaudited, consolidated statement of cash flows of the Company and its Subsidiaries for such fiscal quarter;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requirement shall be deemed to have been satisfied if on or prior to such date the Company files its quarterly report on Form 10-Q for the applicable fiscal quarter with the SEC; and</w:t>
      </w:r>
    </w:p>
    <w:p>
      <w:pPr>
        <w:spacing w:after="0" w:line="218" w:lineRule="exact"/>
        <w:rPr>
          <w:rFonts w:ascii="Times New Roman" w:cs="Times New Roman" w:eastAsia="Times New Roman" w:hAnsi="Times New Roman"/>
          <w:sz w:val="20"/>
          <w:szCs w:val="20"/>
          <w:color w:val="auto"/>
        </w:rPr>
      </w:pPr>
    </w:p>
    <w:p>
      <w:pPr>
        <w:jc w:val="both"/>
        <w:ind w:firstLine="1304"/>
        <w:spacing w:after="0" w:line="253" w:lineRule="auto"/>
        <w:tabs>
          <w:tab w:leader="none" w:pos="200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reasonable access, to the extent reasonably requested by a Stockholder, to the offices and the properties of the Company and its Subsidiaries, including its and their books and records, and to discuss its and their affairs, finances and accounts with its and their officers, all upon reasonable notice and at such reasonable times and as often as the Stockholder may reasonably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investigation pursuant to this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shall be conducted in a manner as not to interfere unreasonably with the conduct of the business of the Company and its Subsidiaries;</w:t>
      </w:r>
    </w:p>
    <w:p>
      <w:pPr>
        <w:spacing w:after="0" w:line="21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5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the foregoing, the Company shall not be obligated to provide such access or materials if the Company determines, in its reasonable judgment, that doing so would reasonably be expected to (i) result in the disclosure of trade secrets or competitively sensitive information to third parties, (ii) violate applicable law, an applicable order or a contract or obligation of confidentiality owing to a third party, (iii) jeopardize the protection of an attorney-client privilege, attorney work product protection or other legal privilege (provided, however, that the Company shall use reasonable efforts to provide alternative, redacted or substitute documents or information in a manner that would not result in the loss of the ability to assert attorney-client privilege, attorney work product protection or other legal privileges), or (iv) expose the Company to risk of liability for disclosure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of personal information;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shall use reasonable best efforts to disclose such information in a manner that would not violate the foregoing.</w:t>
      </w:r>
    </w:p>
    <w:p>
      <w:pPr>
        <w:spacing w:after="0" w:line="16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Section 6.16 </w:t>
      </w:r>
      <w:r>
        <w:rPr>
          <w:rFonts w:ascii="Times New Roman" w:cs="Times New Roman" w:eastAsia="Times New Roman" w:hAnsi="Times New Roman"/>
          <w:sz w:val="20"/>
          <w:szCs w:val="20"/>
          <w:b w:val="1"/>
          <w:bCs w:val="1"/>
          <w:u w:val="single" w:color="auto"/>
          <w:color w:val="auto"/>
        </w:rPr>
        <w:t>Financing Cooperation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requested by a Stockholder or its Permitted Transferees, the Company will provide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cooperation (in each case, all reasonable, documented out-of-pocket expenses incurred by the Company in connection with the foregoing, shall be borne by such Stockholder) in connection with the Stockholder and its Permitted Transferees obtaining any Permitted Loan: (i) entering into an issuer agreement (an “</w:t>
      </w:r>
      <w:r>
        <w:rPr>
          <w:rFonts w:ascii="Times New Roman" w:cs="Times New Roman" w:eastAsia="Times New Roman" w:hAnsi="Times New Roman"/>
          <w:sz w:val="20"/>
          <w:szCs w:val="20"/>
          <w:b w:val="1"/>
          <w:bCs w:val="1"/>
          <w:color w:val="auto"/>
        </w:rPr>
        <w:t>Issuer Agreement</w:t>
      </w:r>
      <w:r>
        <w:rPr>
          <w:rFonts w:ascii="Times New Roman" w:cs="Times New Roman" w:eastAsia="Times New Roman" w:hAnsi="Times New Roman"/>
          <w:sz w:val="20"/>
          <w:szCs w:val="20"/>
          <w:color w:val="auto"/>
        </w:rPr>
        <w:t>”) with each lender in customary form in connection with such transactions (which agreement may include, without limitation, agreements and obligations of the Company relating to procedures and specified time periods for effecting transfers and/or conversions upon foreclosure, agreements to not hinder or delay exercises of remedies on foreclosure, acknowledgments regarding corporate policy, if applicable, certain acknowledgments regarding securities law status of the pledge arrangements and a specified list of Industry Persons, Activist Investors and Restricted Persons) and subject to the consent of the Company (which will not be unreasonably withheld or delayed), with such changes thereto as are requested by such lender and customary for similar financings, (ii) using reasonable best efforts to (A) remove any restrictive legends on certificates representing pledged Preferred Stock or Common Stock issued upon conversion of Preferred Stock and depositing any pledged Preferred Stock or Common Stock issued upon conversion of Preferred Stock in book entry form on the books of The Depository Trust Company, in each case when eligible to do so (and providing any necessary indemnities to the transfer agent in connection therewith) or (B) without limiting the generality of clause (A), if such Preferred Stock is eligible for resale under Rule 144A, depositing such pledged Preferred Stock in book entry form on the books of The Depository Trust Company or other depository with customary Rule 144A restrictive legends, (iii) if so requested by such lender or counterparty, as applicable, re-registering the pledged Preferred Stock or Common Stock issued upon conversion of Preferred Stock in the name of the relevant lender, counterparty, custodian or similar party to a Permitted Loan, with respect to Permitted Loans solely as securities intermediary and only to the extent the Stockholder, its Permitted Transferees (or its or their Affiliates) continue to beneficially own such pledged Preferred Stock or Common Stock issued upon conversion of Preferred Stock, (iv) entering into customary triparty agreements with each lender and the Stockholder (and its Permitted Transferees and its and their Affiliates) relating to the delivery of the Preferred Stock or Common Stock issued upon conversion of Preferred Stock to the relevant lender for crediting to the relevant collateral accounts upon funding of the loan and payment of the purchase price including a right for such lender as a third party beneficiary of the Company’s obligations hereunder to issue the Preferred Stock or Common Stock issued upon conversion of Preferred Stock upon payment of the purchase therefor in accordance with the terms of this Agreement and (v) such other cooperation and assistance as the Stockholder and its Permitted Transferees may reasonably request (which cooperation and assistance, for the avoidance of doubt, shall not include any requirements that the Company deliver information, compliance certificates or any other materials typically provided by borrowers to lenders) that will not unreasonably disrupt the operation of the Company’s business. Anything in the preceding sentence to the contrary notwithstanding, the Company’s obligation to deliver an Issuer Agreement is conditioned on the Stockholder or its Permitted Transferee certifying to the Company in writing that (A) the loan agreement with respect to which the Issuer Agreement is being delivered constitutes a Permitted Loan being entered into in accordance with this Agreement, the Stockholder or its Permitted Transferee has pledged the Preferred Stock and/or the underlying shares of Common Stock as collateral to the lenders under such Permitted Loan and that the execution of such Permitted Loan and the terms thereof do not violate the terms of this Agreement, (B) to the extent applicable, whether the registration rights under the Registration Rights Agreement, dated as of March 10, 2021, by and among the Company and the Stockholders, are being assigned to the lenders under that Permitted Loan, (C) the Stockholder, its Permitted Transferees and its and their controlled Affiliates acknowledge and agree that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09"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0"/>
          <w:szCs w:val="20"/>
          <w:color w:val="auto"/>
        </w:rPr>
        <w:t>will be relying on such certificate when entering into the Issuer Agreement and any inaccuracy in such certificate will be deemed a breach of this Agreement and (D) the Company is not required to incur any material obligations other than as specifically set forth in the preceding sentence. The Stockholder and its Permitted Transferees acknowledge and agree that the statements and agreements of the Company in an Issuer Agreement are solely for the benefit of the applicable lenders party thereto and that in any dispute between the Company and the Stockholder (or its Permitted Transferee) under this Agreement the Stockholder and its Permitted Transferees shall not be entitled to use the statements and agreements of the Company in an Issuer Agreement against the Company.</w:t>
      </w:r>
    </w:p>
    <w:p>
      <w:pPr>
        <w:spacing w:after="0" w:line="2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Section 6.17 </w:t>
      </w:r>
      <w:r>
        <w:rPr>
          <w:rFonts w:ascii="Times New Roman" w:cs="Times New Roman" w:eastAsia="Times New Roman" w:hAnsi="Times New Roman"/>
          <w:sz w:val="19"/>
          <w:szCs w:val="19"/>
          <w:b w:val="1"/>
          <w:bCs w:val="1"/>
          <w:u w:val="single" w:color="auto"/>
          <w:color w:val="auto"/>
        </w:rPr>
        <w:t>Sponsor Provisions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anything to the contrary set forth in this Agreement, none of the terms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provisions of this Agreement (including, for the avoidance of doubt, </w:t>
      </w:r>
      <w:r>
        <w:rPr>
          <w:rFonts w:ascii="Times New Roman" w:cs="Times New Roman" w:eastAsia="Times New Roman" w:hAnsi="Times New Roman"/>
          <w:sz w:val="19"/>
          <w:szCs w:val="19"/>
          <w:u w:val="single" w:color="auto"/>
          <w:color w:val="auto"/>
        </w:rPr>
        <w:t>Section 3.2</w:t>
      </w:r>
      <w:r>
        <w:rPr>
          <w:rFonts w:ascii="Times New Roman" w:cs="Times New Roman" w:eastAsia="Times New Roman" w:hAnsi="Times New Roman"/>
          <w:sz w:val="19"/>
          <w:szCs w:val="19"/>
          <w:color w:val="auto"/>
        </w:rPr>
        <w:t>) shall in any way limit the activities of Cerberus Capital Management L.P. (“</w:t>
      </w:r>
      <w:r>
        <w:rPr>
          <w:rFonts w:ascii="Times New Roman" w:cs="Times New Roman" w:eastAsia="Times New Roman" w:hAnsi="Times New Roman"/>
          <w:sz w:val="19"/>
          <w:szCs w:val="19"/>
          <w:b w:val="1"/>
          <w:bCs w:val="1"/>
          <w:color w:val="auto"/>
        </w:rPr>
        <w:t>Sponsor</w:t>
      </w:r>
      <w:r>
        <w:rPr>
          <w:rFonts w:ascii="Times New Roman" w:cs="Times New Roman" w:eastAsia="Times New Roman" w:hAnsi="Times New Roman"/>
          <w:sz w:val="19"/>
          <w:szCs w:val="19"/>
          <w:color w:val="auto"/>
        </w:rPr>
        <w:t>”) or any of its Affiliates, other than the Cerberus Stockholder and its Permitted Transferees, in their businesses distinct from the corporate private equity business of Sponsor (the “</w:t>
      </w:r>
      <w:r>
        <w:rPr>
          <w:rFonts w:ascii="Times New Roman" w:cs="Times New Roman" w:eastAsia="Times New Roman" w:hAnsi="Times New Roman"/>
          <w:sz w:val="19"/>
          <w:szCs w:val="19"/>
          <w:b w:val="1"/>
          <w:bCs w:val="1"/>
          <w:color w:val="auto"/>
        </w:rPr>
        <w:t>Excluded Sponsor Parties</w:t>
      </w:r>
      <w:r>
        <w:rPr>
          <w:rFonts w:ascii="Times New Roman" w:cs="Times New Roman" w:eastAsia="Times New Roman" w:hAnsi="Times New Roman"/>
          <w:sz w:val="19"/>
          <w:szCs w:val="19"/>
          <w:color w:val="auto"/>
        </w:rPr>
        <w:t>”), so long as (i) no such Excluded Sponsor Party or any of its representatives is acting on behalf of or at the direction of Cerberus Stockholder or any of its Permitted Transferees with respect to any matter that otherwise would violate any term or provision of this Agreement and (ii) no confidential information is made available to any Excluded Sponsor Party or any of its representatives who are not involved in the corporate private equity business of Sponsor by or on behalf of Cerberus Stockholder or any of its Permitted Transferees, except with respect to any such representative who is</w:t>
      </w:r>
    </w:p>
    <w:p>
      <w:pPr>
        <w:spacing w:after="0" w:line="1" w:lineRule="exact"/>
        <w:rPr>
          <w:sz w:val="20"/>
          <w:szCs w:val="20"/>
          <w:color w:val="auto"/>
        </w:rPr>
      </w:pPr>
    </w:p>
    <w:p>
      <w:pPr>
        <w:jc w:val="both"/>
        <w:ind w:firstLine="8"/>
        <w:spacing w:after="0" w:line="248" w:lineRule="auto"/>
        <w:tabs>
          <w:tab w:leader="none" w:pos="28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personnel for compliance purposes and (y) non-compliance personnel of Sponsor who have roles that span both the corporate private equity business of Sponsor and one or more other businesses of Sponsor and are directors or officers of, or function in a similar oversight role at, such Excluded Sponsor Party, as long as confidential information is not otherwise disclosed to or used by or for the benefit of such Excluded Sponsor Party. For the avoidance of doubt, the Cerberus Stockholder may disclose confidential information to (a) its representatives to the extent necessary to obtain their services in connection with its investment in the Company (who in each case have been informed of the confidential nature of the information and who are subject to customary confidentiality and use restrictions), (b) any prospective purchaser of Preferred Stock or Common Stock or prospective financing sources in connection with the syndication and marketing of any Permitted Loan, in each case, as long as such prospective purchaser or lender, as applicable, is subject to customary confidentiality and use restrictions and (c) any Affiliate of Sponsor or any limited partner or prospective partner in an investment fund of Sponsor or its Affiliates (and their respective representatives), in each case (provided that the recipients of such confidential information are subject to customary confidentiality and use restrictions and such information is provided in connection with such Person’s ordinary course compliance, fundraising, monitoring or reporting activities or to monitor, manage and/or evaluate the Cerberus Stockholder’s investment in the Company).</w:t>
      </w:r>
    </w:p>
    <w:p>
      <w:pPr>
        <w:spacing w:after="0" w:line="2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written above.</w:t>
      </w:r>
    </w:p>
    <w:p>
      <w:pPr>
        <w:sectPr>
          <w:pgSz w:w="11900" w:h="16838" w:orient="portrait"/>
          <w:cols w:equalWidth="0" w:num="1">
            <w:col w:w="9479"/>
          </w:cols>
          <w:pgMar w:left="980" w:top="1413" w:right="1440" w:bottom="1440" w:gutter="0" w:footer="0" w:header="0"/>
        </w:sectPr>
      </w:pPr>
    </w:p>
    <w:p>
      <w:pPr>
        <w:spacing w:after="0" w:line="21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COMSCORE, INC.</w:t>
      </w:r>
    </w:p>
    <w:p>
      <w:pPr>
        <w:spacing w:after="0" w:line="395" w:lineRule="exact"/>
        <w:rPr>
          <w:sz w:val="20"/>
          <w:szCs w:val="20"/>
          <w:color w:val="auto"/>
        </w:rPr>
      </w:pPr>
    </w:p>
    <w:p>
      <w:pPr>
        <w:ind w:left="3240"/>
        <w:spacing w:after="0"/>
        <w:tabs>
          <w:tab w:leader="none" w:pos="3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-10795</wp:posOffset>
            </wp:positionV>
            <wp:extent cx="13620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Name: Mary Margaret Curry</w:t>
      </w:r>
    </w:p>
    <w:p>
      <w:pPr>
        <w:spacing w:after="0" w:line="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9"/>
          <w:szCs w:val="19"/>
          <w:i w:val="1"/>
          <w:iCs w:val="1"/>
          <w:color w:val="auto"/>
        </w:rPr>
        <w:t>[Signature Page to Second Amended and Restated Stockholders Agreement]</w:t>
      </w:r>
    </w:p>
    <w:p>
      <w:pPr>
        <w:sectPr>
          <w:pgSz w:w="11900" w:h="16838" w:orient="portrait"/>
          <w:cols w:equalWidth="0" w:num="1">
            <w:col w:w="9479"/>
          </w:cols>
          <w:pgMar w:left="980" w:top="1413" w:right="1440" w:bottom="1440" w:gutter="0" w:footer="0" w:header="0"/>
          <w:type w:val="continuous"/>
        </w:sectPr>
      </w:pPr>
    </w:p>
    <w:bookmarkStart w:id="89" w:name="page90"/>
    <w:bookmarkEnd w:id="89"/>
    <w:p>
      <w:pPr>
        <w:ind w:left="2780"/>
        <w:spacing w:after="0"/>
        <w:rPr>
          <w:sz w:val="20"/>
          <w:szCs w:val="20"/>
          <w:color w:val="auto"/>
        </w:rPr>
      </w:pPr>
      <w:r>
        <w:rPr>
          <w:rFonts w:ascii="Times New Roman" w:cs="Times New Roman" w:eastAsia="Times New Roman" w:hAnsi="Times New Roman"/>
          <w:sz w:val="20"/>
          <w:szCs w:val="20"/>
          <w:b w:val="1"/>
          <w:bCs w:val="1"/>
          <w:u w:val="single" w:color="auto"/>
          <w:color w:val="auto"/>
        </w:rPr>
        <w:t>STOCKHOLDERS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b w:val="1"/>
          <w:bCs w:val="1"/>
          <w:color w:val="auto"/>
        </w:rPr>
        <w:t>CHARTER COMMUNICATIONS HOLDING COMPANY, LLC</w:t>
      </w:r>
    </w:p>
    <w:p>
      <w:pPr>
        <w:spacing w:after="0" w:line="200" w:lineRule="exact"/>
        <w:rPr>
          <w:sz w:val="20"/>
          <w:szCs w:val="20"/>
          <w:color w:val="auto"/>
        </w:rPr>
      </w:pPr>
    </w:p>
    <w:p>
      <w:pPr>
        <w:spacing w:after="0" w:line="20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Charter Communications, Inc., Its Manager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Jeffrey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205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205230" cy="8890"/>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Name: Jeffrey B. Murphy</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Title: SVP, Corporate Finance and Development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tabs>
          <w:tab w:leader="none" w:pos="3660" w:val="left"/>
          <w:tab w:leader="none" w:pos="6600" w:val="left"/>
        </w:tabs>
        <w:rPr>
          <w:sz w:val="20"/>
          <w:szCs w:val="20"/>
          <w:color w:val="auto"/>
        </w:rPr>
      </w:pPr>
      <w:r>
        <w:rPr>
          <w:rFonts w:ascii="Times New Roman" w:cs="Times New Roman" w:eastAsia="Times New Roman" w:hAnsi="Times New Roman"/>
          <w:sz w:val="20"/>
          <w:szCs w:val="20"/>
          <w:color w:val="auto"/>
        </w:rPr>
        <w:t>Address:</w:t>
        <w:tab/>
        <w:t>Charter Communications Holding</w:t>
      </w:r>
      <w:r>
        <w:rPr>
          <w:sz w:val="20"/>
          <w:szCs w:val="20"/>
          <w:color w:val="auto"/>
        </w:rPr>
        <w:tab/>
      </w:r>
      <w:r>
        <w:rPr>
          <w:rFonts w:ascii="Times New Roman" w:cs="Times New Roman" w:eastAsia="Times New Roman" w:hAnsi="Times New Roman"/>
          <w:sz w:val="19"/>
          <w:szCs w:val="19"/>
          <w:color w:val="auto"/>
        </w:rPr>
        <w:t>Company, LLC</w:t>
      </w:r>
    </w:p>
    <w:p>
      <w:pPr>
        <w:spacing w:after="0" w:line="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400 Washington Blvd.</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Stamford, Connecticut 06902</w:t>
      </w:r>
    </w:p>
    <w:p>
      <w:pPr>
        <w:spacing w:after="0" w:line="202"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1"/>
          <w:szCs w:val="21"/>
          <w:color w:val="auto"/>
        </w:rPr>
        <w:t>[__________]</w:t>
      </w:r>
    </w:p>
    <w:p>
      <w:pPr>
        <w:spacing w:after="0" w:line="3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Second Amended and Restated Stockholders Agreement]</w:t>
      </w:r>
    </w:p>
    <w:p>
      <w:pPr>
        <w:sectPr>
          <w:pgSz w:w="11900" w:h="16838" w:orient="portrait"/>
          <w:cols w:equalWidth="0" w:num="1">
            <w:col w:w="9019"/>
          </w:cols>
          <w:pgMar w:left="1440" w:top="1409" w:right="1440" w:bottom="1440" w:gutter="0" w:footer="0" w:header="0"/>
        </w:sectPr>
      </w:pPr>
    </w:p>
    <w:bookmarkStart w:id="90" w:name="page91"/>
    <w:bookmarkEnd w:id="90"/>
    <w:p>
      <w:pPr>
        <w:ind w:left="2780"/>
        <w:spacing w:after="0"/>
        <w:rPr>
          <w:sz w:val="20"/>
          <w:szCs w:val="20"/>
          <w:color w:val="auto"/>
        </w:rPr>
      </w:pPr>
      <w:r>
        <w:rPr>
          <w:rFonts w:ascii="Times New Roman" w:cs="Times New Roman" w:eastAsia="Times New Roman" w:hAnsi="Times New Roman"/>
          <w:sz w:val="20"/>
          <w:szCs w:val="20"/>
          <w:b w:val="1"/>
          <w:bCs w:val="1"/>
          <w:color w:val="auto"/>
        </w:rPr>
        <w:t>LIBERTY BROADBAND CORPORATION</w:t>
      </w:r>
    </w:p>
    <w:p>
      <w:pPr>
        <w:spacing w:after="0" w:line="200" w:lineRule="exact"/>
        <w:rPr>
          <w:sz w:val="20"/>
          <w:szCs w:val="20"/>
          <w:color w:val="auto"/>
        </w:rPr>
      </w:pPr>
    </w:p>
    <w:p>
      <w:pPr>
        <w:spacing w:after="0" w:line="20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Craig Troyer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9239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Name: Craig Troyer</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tabs>
          <w:tab w:leader="none" w:pos="36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Liberty Broadband Corporation</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12300 Liberty Boulevard</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Englewood, CO 80112</w:t>
      </w:r>
    </w:p>
    <w:p>
      <w:pPr>
        <w:spacing w:after="0" w:line="189"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Second Amended and Restated Stockholders Agreement]</w:t>
      </w:r>
    </w:p>
    <w:p>
      <w:pPr>
        <w:sectPr>
          <w:pgSz w:w="11900" w:h="16838" w:orient="portrait"/>
          <w:cols w:equalWidth="0" w:num="1">
            <w:col w:w="9019"/>
          </w:cols>
          <w:pgMar w:left="1440" w:top="1409" w:right="1440" w:bottom="1440" w:gutter="0" w:footer="0" w:header="0"/>
        </w:sectPr>
      </w:pPr>
    </w:p>
    <w:bookmarkStart w:id="91" w:name="page92"/>
    <w:bookmarkEnd w:id="91"/>
    <w:p>
      <w:pPr>
        <w:ind w:left="2780"/>
        <w:spacing w:after="0"/>
        <w:rPr>
          <w:sz w:val="20"/>
          <w:szCs w:val="20"/>
          <w:color w:val="auto"/>
        </w:rPr>
      </w:pPr>
      <w:r>
        <w:rPr>
          <w:rFonts w:ascii="Times New Roman" w:cs="Times New Roman" w:eastAsia="Times New Roman" w:hAnsi="Times New Roman"/>
          <w:sz w:val="20"/>
          <w:szCs w:val="20"/>
          <w:b w:val="1"/>
          <w:bCs w:val="1"/>
          <w:color w:val="auto"/>
        </w:rPr>
        <w:t>PINE INVESTOR, LLC</w:t>
      </w:r>
    </w:p>
    <w:p>
      <w:pPr>
        <w:spacing w:after="0" w:line="200" w:lineRule="exact"/>
        <w:rPr>
          <w:sz w:val="20"/>
          <w:szCs w:val="20"/>
          <w:color w:val="auto"/>
        </w:rPr>
      </w:pPr>
    </w:p>
    <w:p>
      <w:pPr>
        <w:spacing w:after="0" w:line="20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Jacob B.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1116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Name: Jacob B. Hansen</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80"/>
        <w:spacing w:after="0"/>
        <w:tabs>
          <w:tab w:leader="none" w:pos="3660" w:val="left"/>
        </w:tabs>
        <w:rPr>
          <w:sz w:val="20"/>
          <w:szCs w:val="20"/>
          <w:color w:val="auto"/>
        </w:rPr>
      </w:pPr>
      <w:r>
        <w:rPr>
          <w:rFonts w:ascii="Times New Roman" w:cs="Times New Roman" w:eastAsia="Times New Roman" w:hAnsi="Times New Roman"/>
          <w:sz w:val="20"/>
          <w:szCs w:val="20"/>
          <w:color w:val="auto"/>
        </w:rPr>
        <w:t>Address:</w:t>
      </w:r>
      <w:r>
        <w:rPr>
          <w:sz w:val="20"/>
          <w:szCs w:val="20"/>
          <w:color w:val="auto"/>
        </w:rPr>
        <w:tab/>
      </w:r>
      <w:r>
        <w:rPr>
          <w:rFonts w:ascii="Times New Roman" w:cs="Times New Roman" w:eastAsia="Times New Roman" w:hAnsi="Times New Roman"/>
          <w:sz w:val="19"/>
          <w:szCs w:val="19"/>
          <w:color w:val="auto"/>
        </w:rPr>
        <w:t>Cerberus Capital Management, L.P.</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875 Third Avenue</w:t>
      </w:r>
    </w:p>
    <w:p>
      <w:pPr>
        <w:spacing w:after="0" w:line="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189"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1"/>
          <w:szCs w:val="21"/>
          <w:color w:val="auto"/>
        </w:rPr>
        <w:t>[__________]</w:t>
      </w:r>
    </w:p>
    <w:p>
      <w:pPr>
        <w:spacing w:after="0" w:line="4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[Signature Page to Second Amended and Restated Stockholders Agreement]</w:t>
      </w:r>
    </w:p>
    <w:p>
      <w:pPr>
        <w:sectPr>
          <w:pgSz w:w="11900" w:h="16838" w:orient="portrait"/>
          <w:cols w:equalWidth="0" w:num="1">
            <w:col w:w="9019"/>
          </w:cols>
          <w:pgMar w:left="1440" w:top="1409" w:right="144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INDUSTRY PERSONS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[Schedule 1 to Second Amended and Restated Stockholders Agreement]</w:t>
      </w:r>
    </w:p>
    <w:p>
      <w:pPr>
        <w:sectPr>
          <w:pgSz w:w="11900" w:h="16838" w:orient="portrait"/>
          <w:cols w:equalWidth="0" w:num="1">
            <w:col w:w="9019"/>
          </w:cols>
          <w:pgMar w:left="1440" w:top="1409" w:right="144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2</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PERSONS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[Schedule 2 to Second Amended and Restated Stockholders Agreement]</w:t>
      </w:r>
    </w:p>
    <w:p>
      <w:pPr>
        <w:sectPr>
          <w:pgSz w:w="11900" w:h="16838" w:orient="portrait"/>
          <w:cols w:equalWidth="0" w:num="1">
            <w:col w:w="9019"/>
          </w:cols>
          <w:pgMar w:left="1440" w:top="1409" w:right="1440"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Form of Observer Confidentiality Agreement</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[Exhibit A to Second Amended and Restated Stockholders Agreement]</w:t>
      </w:r>
    </w:p>
    <w:p>
      <w:pPr>
        <w:sectPr>
          <w:pgSz w:w="11900" w:h="16838" w:orient="portrait"/>
          <w:cols w:equalWidth="0" w:num="1">
            <w:col w:w="9019"/>
          </w:cols>
          <w:pgMar w:left="1440" w:top="1409"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REGISTRATION RIGHTS AGREEMENT</w:t>
      </w:r>
    </w:p>
    <w:p>
      <w:pPr>
        <w:spacing w:after="0" w:line="245"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2"/>
          <w:szCs w:val="22"/>
          <w:color w:val="auto"/>
        </w:rPr>
        <w:t>This First Amendment to the Registration Rights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xml:space="preserve">”) is made and entered into as of </w:t>
      </w:r>
      <w:r>
        <w:rPr>
          <w:rFonts w:ascii="Times New Roman" w:cs="Times New Roman" w:eastAsia="Times New Roman" w:hAnsi="Times New Roman"/>
          <w:sz w:val="19"/>
          <w:szCs w:val="19"/>
          <w:color w:val="auto"/>
        </w:rPr>
        <w:t>December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29, 2025 </w:t>
      </w:r>
      <w:r>
        <w:rPr>
          <w:rFonts w:ascii="Times New Roman" w:cs="Times New Roman" w:eastAsia="Times New Roman" w:hAnsi="Times New Roman"/>
          <w:sz w:val="21"/>
          <w:szCs w:val="21"/>
          <w:color w:val="auto"/>
        </w:rPr>
        <w:t>by and among comScore,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each of the other parties listed on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signature pages hereto (a “</w:t>
      </w:r>
      <w:r>
        <w:rPr>
          <w:rFonts w:ascii="Times New Roman" w:cs="Times New Roman" w:eastAsia="Times New Roman" w:hAnsi="Times New Roman"/>
          <w:sz w:val="21"/>
          <w:szCs w:val="21"/>
          <w:b w:val="1"/>
          <w:bCs w:val="1"/>
          <w:i w:val="1"/>
          <w:iCs w:val="1"/>
          <w:color w:val="auto"/>
        </w:rPr>
        <w:t>Stockholder</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i w:val="1"/>
          <w:iCs w:val="1"/>
          <w:color w:val="auto"/>
        </w:rPr>
        <w:t>Stockholders</w:t>
      </w:r>
      <w:r>
        <w:rPr>
          <w:rFonts w:ascii="Times New Roman" w:cs="Times New Roman" w:eastAsia="Times New Roman" w:hAnsi="Times New Roman"/>
          <w:sz w:val="21"/>
          <w:szCs w:val="21"/>
          <w:color w:val="auto"/>
        </w:rPr>
        <w:t>” and together with the Company, the “</w:t>
      </w:r>
      <w:r>
        <w:rPr>
          <w:rFonts w:ascii="Times New Roman" w:cs="Times New Roman" w:eastAsia="Times New Roman" w:hAnsi="Times New Roman"/>
          <w:sz w:val="21"/>
          <w:szCs w:val="21"/>
          <w:b w:val="1"/>
          <w:bCs w:val="1"/>
          <w:i w:val="1"/>
          <w:iCs w:val="1"/>
          <w:color w:val="auto"/>
        </w:rPr>
        <w:t>Parties</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Capitalized terms used herein but not otherwise defined herein shall have the meanings ascribed to them in the Registration Rights Agreement (as defined below).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March 10, 2021, the Company, Charter Communications Holding Company, LLC, Qurate Retail, Inc.,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(together with its affiliates, “</w:t>
      </w:r>
      <w:r>
        <w:rPr>
          <w:rFonts w:ascii="Times New Roman" w:cs="Times New Roman" w:eastAsia="Times New Roman" w:hAnsi="Times New Roman"/>
          <w:sz w:val="22"/>
          <w:szCs w:val="22"/>
          <w:b w:val="1"/>
          <w:bCs w:val="1"/>
          <w:i w:val="1"/>
          <w:iCs w:val="1"/>
          <w:color w:val="auto"/>
        </w:rPr>
        <w:t>Qurate</w:t>
      </w:r>
      <w:r>
        <w:rPr>
          <w:rFonts w:ascii="Times New Roman" w:cs="Times New Roman" w:eastAsia="Times New Roman" w:hAnsi="Times New Roman"/>
          <w:sz w:val="22"/>
          <w:szCs w:val="22"/>
          <w:color w:val="auto"/>
        </w:rPr>
        <w:t>”) and Pine Investor, LLC entered into the Registration Rights Agreement (the “</w:t>
      </w:r>
      <w:r>
        <w:rPr>
          <w:rFonts w:ascii="Times New Roman" w:cs="Times New Roman" w:eastAsia="Times New Roman" w:hAnsi="Times New Roman"/>
          <w:sz w:val="22"/>
          <w:szCs w:val="22"/>
          <w:b w:val="1"/>
          <w:bCs w:val="1"/>
          <w:i w:val="1"/>
          <w:iCs w:val="1"/>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Rights Agreement</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May 16, 2023, Qurate transferred its shares of Series B Convertible Preferred Stock, par value $0.001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share, of the Company (“</w:t>
      </w:r>
      <w:r>
        <w:rPr>
          <w:rFonts w:ascii="Times New Roman" w:cs="Times New Roman" w:eastAsia="Times New Roman" w:hAnsi="Times New Roman"/>
          <w:sz w:val="22"/>
          <w:szCs w:val="22"/>
          <w:b w:val="1"/>
          <w:bCs w:val="1"/>
          <w:i w:val="1"/>
          <w:iCs w:val="1"/>
          <w:color w:val="auto"/>
        </w:rPr>
        <w:t>Series B Preferred Stock</w:t>
      </w:r>
      <w:r>
        <w:rPr>
          <w:rFonts w:ascii="Times New Roman" w:cs="Times New Roman" w:eastAsia="Times New Roman" w:hAnsi="Times New Roman"/>
          <w:sz w:val="22"/>
          <w:szCs w:val="22"/>
          <w:color w:val="auto"/>
        </w:rPr>
        <w:t>”) to Liberty Broadband Corporation and Liberty Broadband Corporation became a party to the Registration Rights Agreement as assignee of Qurate;</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on September 26, 2025, the Company and each of the Stockholders entered into a Stock Exchange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relating to the exchange of the Stockholders’ Series B Preferred Stock for (i) shares of Series C Convertible Preferred Stock, par value $0.001 per share, of the Company and (ii) shares of common stock, par value $0.001 per share, of the Company;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Registration Rights Agreement as set forth in this Amendment; and</w:t>
      </w:r>
    </w:p>
    <w:p>
      <w:pPr>
        <w:spacing w:after="0" w:line="220"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Registration Rights Agreement provides that such agreement may be amended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thereto at any time by execution of an instrument in writing signed on behalf of each of the Purchasers and the Company.</w:t>
      </w:r>
    </w:p>
    <w:p>
      <w:pPr>
        <w:spacing w:after="0" w:line="12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set forth herein and for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by each Party, the Parties hereby agree as follows:</w:t>
      </w:r>
    </w:p>
    <w:p>
      <w:pPr>
        <w:spacing w:after="0" w:line="132" w:lineRule="exact"/>
        <w:rPr>
          <w:sz w:val="20"/>
          <w:szCs w:val="20"/>
          <w:color w:val="auto"/>
        </w:rPr>
      </w:pPr>
    </w:p>
    <w:p>
      <w:pPr>
        <w:ind w:left="52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b w:val="1"/>
          <w:bCs w:val="1"/>
          <w:i w:val="1"/>
          <w:iCs w:val="1"/>
          <w:color w:val="auto"/>
        </w:rPr>
        <w:t>Amendments to Registration Rights Agreement</w:t>
      </w:r>
    </w:p>
    <w:p>
      <w:pPr>
        <w:spacing w:after="0" w:line="181" w:lineRule="exact"/>
        <w:rPr>
          <w:sz w:val="20"/>
          <w:szCs w:val="20"/>
          <w:color w:val="auto"/>
        </w:rPr>
      </w:pPr>
    </w:p>
    <w:p>
      <w:pPr>
        <w:ind w:left="1820" w:hanging="516"/>
        <w:spacing w:after="0"/>
        <w:tabs>
          <w:tab w:leader="none" w:pos="18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to </w:t>
      </w:r>
      <w:r>
        <w:rPr>
          <w:rFonts w:ascii="Times New Roman" w:cs="Times New Roman" w:eastAsia="Times New Roman" w:hAnsi="Times New Roman"/>
          <w:sz w:val="22"/>
          <w:szCs w:val="22"/>
          <w:i w:val="1"/>
          <w:iCs w:val="1"/>
          <w:u w:val="single" w:color="auto"/>
          <w:color w:val="auto"/>
        </w:rPr>
        <w:t>Section 1.6</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280" w:hanging="328"/>
        <w:spacing w:after="0"/>
        <w:tabs>
          <w:tab w:leader="none" w:pos="22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1.6(a)</w:t>
      </w:r>
      <w:r>
        <w:rPr>
          <w:rFonts w:ascii="Times New Roman" w:cs="Times New Roman" w:eastAsia="Times New Roman" w:hAnsi="Times New Roman"/>
          <w:sz w:val="22"/>
          <w:szCs w:val="22"/>
          <w:color w:val="auto"/>
        </w:rPr>
        <w:t xml:space="preserve"> is hereby amended and restated as follows:</w:t>
      </w:r>
    </w:p>
    <w:p>
      <w:pPr>
        <w:spacing w:after="0" w:line="220" w:lineRule="exact"/>
        <w:rPr>
          <w:sz w:val="20"/>
          <w:szCs w:val="20"/>
          <w:color w:val="auto"/>
        </w:rPr>
      </w:pPr>
    </w:p>
    <w:p>
      <w:pPr>
        <w:jc w:val="both"/>
        <w:ind w:left="1300" w:right="20" w:firstLine="1296"/>
        <w:spacing w:after="0" w:line="244" w:lineRule="auto"/>
        <w:rPr>
          <w:sz w:val="20"/>
          <w:szCs w:val="20"/>
          <w:color w:val="auto"/>
        </w:rPr>
      </w:pPr>
      <w:r>
        <w:rPr>
          <w:rFonts w:ascii="Times New Roman" w:cs="Times New Roman" w:eastAsia="Times New Roman" w:hAnsi="Times New Roman"/>
          <w:sz w:val="22"/>
          <w:szCs w:val="22"/>
          <w:color w:val="auto"/>
        </w:rPr>
        <w:t>“(a) Subject to any applicable restrictions on transfer in the Stockholders Agreement or otherwise, one or more Holders of Registrable Securities may, after the Resale Shelf Registration Statement becomes effective,</w:t>
      </w:r>
    </w:p>
    <w:p>
      <w:pPr>
        <w:sectPr>
          <w:pgSz w:w="11900" w:h="16838" w:orient="portrait"/>
          <w:cols w:equalWidth="0" w:num="1">
            <w:col w:w="11240"/>
          </w:cols>
          <w:pgMar w:left="320" w:top="126" w:right="339" w:bottom="1440" w:gutter="0" w:footer="0" w:header="0"/>
        </w:sectPr>
      </w:pPr>
    </w:p>
    <w:bookmarkStart w:id="96" w:name="page97"/>
    <w:bookmarkEnd w:id="96"/>
    <w:p>
      <w:pPr>
        <w:jc w:val="both"/>
        <w:ind w:left="1080"/>
        <w:spacing w:after="0" w:line="244" w:lineRule="auto"/>
        <w:rPr>
          <w:sz w:val="20"/>
          <w:szCs w:val="20"/>
          <w:color w:val="auto"/>
        </w:rPr>
      </w:pPr>
      <w:r>
        <w:rPr>
          <w:rFonts w:ascii="Times New Roman" w:cs="Times New Roman" w:eastAsia="Times New Roman" w:hAnsi="Times New Roman"/>
          <w:sz w:val="21"/>
          <w:szCs w:val="21"/>
          <w:color w:val="auto"/>
        </w:rPr>
        <w:t>deliver a written notice to the Company (the “</w:t>
      </w:r>
      <w:r>
        <w:rPr>
          <w:rFonts w:ascii="Times New Roman" w:cs="Times New Roman" w:eastAsia="Times New Roman" w:hAnsi="Times New Roman"/>
          <w:sz w:val="21"/>
          <w:szCs w:val="21"/>
          <w:b w:val="1"/>
          <w:bCs w:val="1"/>
          <w:i w:val="1"/>
          <w:iCs w:val="1"/>
          <w:color w:val="auto"/>
        </w:rPr>
        <w:t>Underwritten Offering Notice</w:t>
      </w:r>
      <w:r>
        <w:rPr>
          <w:rFonts w:ascii="Times New Roman" w:cs="Times New Roman" w:eastAsia="Times New Roman" w:hAnsi="Times New Roman"/>
          <w:sz w:val="21"/>
          <w:szCs w:val="21"/>
          <w:color w:val="auto"/>
        </w:rPr>
        <w:t>”) specifying that the sale of some or all of the Registrable Securities subject to such Resale Shelf Registration Statement, is intended to be conducted through an underwritten offering or an underwritten block trade or bought deal; provided, however, that the Holders may not, without the Company’s prior written consent, (i) launch an underwritten offering or underwritten block trade or bought deal the anticipated gross proceeds of which shall be less than $25,000,000 (unless the Holder, collectively with all of its Affiliates, is proposing to sell all of their remaining Registrable Securities), (ii) launch more than three underwritten offerings or underwritten block trades or bought deals at the request of the Holders within any 365-day period or (iii) launch an underwritten offering or underwritten block trade or bought deal within the quarterly blackout period during which directors, executive officers and other employees and agents identified by the Company must refrain from conducting transactions involving the Company’s securities pursuant to the Company’s then-current insider trading policy (a “</w:t>
      </w:r>
      <w:r>
        <w:rPr>
          <w:rFonts w:ascii="Times New Roman" w:cs="Times New Roman" w:eastAsia="Times New Roman" w:hAnsi="Times New Roman"/>
          <w:sz w:val="21"/>
          <w:szCs w:val="21"/>
          <w:b w:val="1"/>
          <w:bCs w:val="1"/>
          <w:i w:val="1"/>
          <w:iCs w:val="1"/>
          <w:color w:val="auto"/>
        </w:rPr>
        <w:t>Quarterly Blackout Period</w:t>
      </w:r>
      <w:r>
        <w:rPr>
          <w:rFonts w:ascii="Times New Roman" w:cs="Times New Roman" w:eastAsia="Times New Roman" w:hAnsi="Times New Roman"/>
          <w:sz w:val="21"/>
          <w:szCs w:val="21"/>
          <w:color w:val="auto"/>
        </w:rPr>
        <w:t>”, and such qualifying underwritten offering or underwritten block trade or bought deal, an “</w:t>
      </w:r>
      <w:r>
        <w:rPr>
          <w:rFonts w:ascii="Times New Roman" w:cs="Times New Roman" w:eastAsia="Times New Roman" w:hAnsi="Times New Roman"/>
          <w:sz w:val="21"/>
          <w:szCs w:val="21"/>
          <w:b w:val="1"/>
          <w:bCs w:val="1"/>
          <w:i w:val="1"/>
          <w:iCs w:val="1"/>
          <w:color w:val="auto"/>
        </w:rPr>
        <w:t>Underwritten Offering</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left="1600" w:hanging="516"/>
        <w:spacing w:after="0"/>
        <w:tabs>
          <w:tab w:leader="none" w:pos="160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to </w:t>
      </w:r>
      <w:r>
        <w:rPr>
          <w:rFonts w:ascii="Times New Roman" w:cs="Times New Roman" w:eastAsia="Times New Roman" w:hAnsi="Times New Roman"/>
          <w:sz w:val="22"/>
          <w:szCs w:val="22"/>
          <w:i w:val="1"/>
          <w:iCs w:val="1"/>
          <w:u w:val="single" w:color="auto"/>
          <w:color w:val="auto"/>
        </w:rPr>
        <w:t>Section 5.9</w:t>
      </w:r>
      <w:r>
        <w:rPr>
          <w:rFonts w:ascii="Times New Roman" w:cs="Times New Roman" w:eastAsia="Times New Roman" w:hAnsi="Times New Roman"/>
          <w:sz w:val="22"/>
          <w:szCs w:val="22"/>
          <w:i w:val="1"/>
          <w:iCs w:val="1"/>
          <w:color w:val="auto"/>
        </w:rPr>
        <w:t>.</w:t>
      </w:r>
    </w:p>
    <w:p>
      <w:pPr>
        <w:spacing w:after="0" w:line="237" w:lineRule="exact"/>
        <w:rPr>
          <w:rFonts w:ascii="Times New Roman" w:cs="Times New Roman" w:eastAsia="Times New Roman" w:hAnsi="Times New Roman"/>
          <w:sz w:val="22"/>
          <w:szCs w:val="22"/>
          <w:color w:val="auto"/>
        </w:rPr>
      </w:pPr>
    </w:p>
    <w:p>
      <w:pPr>
        <w:ind w:left="2060" w:hanging="328"/>
        <w:spacing w:after="0"/>
        <w:tabs>
          <w:tab w:leader="none" w:pos="206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5.9(b)(ii)</w:t>
      </w:r>
      <w:r>
        <w:rPr>
          <w:rFonts w:ascii="Times New Roman" w:cs="Times New Roman" w:eastAsia="Times New Roman" w:hAnsi="Times New Roman"/>
          <w:sz w:val="22"/>
          <w:szCs w:val="22"/>
          <w:color w:val="auto"/>
        </w:rPr>
        <w:t xml:space="preserve"> is hereby amended and restated as follows:</w:t>
      </w:r>
    </w:p>
    <w:p>
      <w:pPr>
        <w:spacing w:after="0" w:line="233" w:lineRule="exact"/>
        <w:rPr>
          <w:sz w:val="20"/>
          <w:szCs w:val="20"/>
          <w:color w:val="auto"/>
        </w:rPr>
      </w:pPr>
    </w:p>
    <w:p>
      <w:pPr>
        <w:ind w:left="2920" w:hanging="540"/>
        <w:spacing w:after="0"/>
        <w:tabs>
          <w:tab w:leader="none" w:pos="29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Liberty Broadband Corporation at:</w:t>
      </w:r>
    </w:p>
    <w:p>
      <w:pPr>
        <w:spacing w:after="0" w:line="23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Liberty Broadband Corporation</w:t>
      </w:r>
    </w:p>
    <w:p>
      <w:pPr>
        <w:ind w:left="3020"/>
        <w:spacing w:after="0" w:line="231" w:lineRule="auto"/>
        <w:rPr>
          <w:sz w:val="20"/>
          <w:szCs w:val="20"/>
          <w:color w:val="auto"/>
        </w:rPr>
      </w:pPr>
      <w:r>
        <w:rPr>
          <w:rFonts w:ascii="Times New Roman" w:cs="Times New Roman" w:eastAsia="Times New Roman" w:hAnsi="Times New Roman"/>
          <w:sz w:val="22"/>
          <w:szCs w:val="22"/>
          <w:color w:val="auto"/>
        </w:rPr>
        <w:t>12300 Liberty Boulevard</w:t>
      </w:r>
    </w:p>
    <w:p>
      <w:pPr>
        <w:ind w:left="3020"/>
        <w:spacing w:after="0" w:line="230" w:lineRule="auto"/>
        <w:rPr>
          <w:sz w:val="20"/>
          <w:szCs w:val="20"/>
          <w:color w:val="auto"/>
        </w:rPr>
      </w:pPr>
      <w:r>
        <w:rPr>
          <w:rFonts w:ascii="Times New Roman" w:cs="Times New Roman" w:eastAsia="Times New Roman" w:hAnsi="Times New Roman"/>
          <w:sz w:val="22"/>
          <w:szCs w:val="22"/>
          <w:color w:val="auto"/>
        </w:rPr>
        <w:t>Englewood, CO 80112</w:t>
      </w:r>
    </w:p>
    <w:p>
      <w:pPr>
        <w:ind w:left="3020"/>
        <w:spacing w:after="0" w:line="231" w:lineRule="auto"/>
        <w:rPr>
          <w:sz w:val="20"/>
          <w:szCs w:val="20"/>
          <w:color w:val="auto"/>
        </w:rPr>
      </w:pPr>
      <w:r>
        <w:rPr>
          <w:rFonts w:ascii="Times New Roman" w:cs="Times New Roman" w:eastAsia="Times New Roman" w:hAnsi="Times New Roman"/>
          <w:sz w:val="22"/>
          <w:szCs w:val="22"/>
          <w:color w:val="auto"/>
        </w:rPr>
        <w:t>Attn: Renee L. Wilm, Esq.</w:t>
      </w:r>
    </w:p>
    <w:p>
      <w:pPr>
        <w:ind w:left="3020"/>
        <w:spacing w:after="0"/>
        <w:rPr>
          <w:sz w:val="20"/>
          <w:szCs w:val="20"/>
          <w:color w:val="auto"/>
        </w:rPr>
      </w:pPr>
      <w:r>
        <w:rPr>
          <w:rFonts w:ascii="Times New Roman" w:cs="Times New Roman" w:eastAsia="Times New Roman" w:hAnsi="Times New Roman"/>
          <w:sz w:val="22"/>
          <w:szCs w:val="22"/>
          <w:color w:val="auto"/>
        </w:rPr>
        <w:t>Email: [_______]</w:t>
      </w:r>
    </w:p>
    <w:p>
      <w:pPr>
        <w:spacing w:after="0" w:line="20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3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Baker Botts L.L.P.</w:t>
      </w:r>
    </w:p>
    <w:p>
      <w:pPr>
        <w:spacing w:after="0" w:line="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30 Rockefeller Plaza</w:t>
      </w:r>
    </w:p>
    <w:p>
      <w:pPr>
        <w:ind w:left="3020"/>
        <w:spacing w:after="0" w:line="230" w:lineRule="auto"/>
        <w:rPr>
          <w:sz w:val="20"/>
          <w:szCs w:val="20"/>
          <w:color w:val="auto"/>
        </w:rPr>
      </w:pPr>
      <w:r>
        <w:rPr>
          <w:rFonts w:ascii="Times New Roman" w:cs="Times New Roman" w:eastAsia="Times New Roman" w:hAnsi="Times New Roman"/>
          <w:sz w:val="22"/>
          <w:szCs w:val="22"/>
          <w:color w:val="auto"/>
        </w:rPr>
        <w:t>44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w:t>
      </w:r>
    </w:p>
    <w:p>
      <w:pPr>
        <w:ind w:left="3020"/>
        <w:spacing w:after="0" w:line="231" w:lineRule="auto"/>
        <w:rPr>
          <w:sz w:val="20"/>
          <w:szCs w:val="20"/>
          <w:color w:val="auto"/>
        </w:rPr>
      </w:pPr>
      <w:r>
        <w:rPr>
          <w:rFonts w:ascii="Times New Roman" w:cs="Times New Roman" w:eastAsia="Times New Roman" w:hAnsi="Times New Roman"/>
          <w:sz w:val="22"/>
          <w:szCs w:val="22"/>
          <w:color w:val="auto"/>
        </w:rPr>
        <w:t>New York, NY 10112</w:t>
      </w:r>
    </w:p>
    <w:p>
      <w:pPr>
        <w:ind w:left="3020"/>
        <w:spacing w:after="0" w:line="230" w:lineRule="auto"/>
        <w:rPr>
          <w:sz w:val="20"/>
          <w:szCs w:val="20"/>
          <w:color w:val="auto"/>
        </w:rPr>
      </w:pPr>
      <w:r>
        <w:rPr>
          <w:rFonts w:ascii="Times New Roman" w:cs="Times New Roman" w:eastAsia="Times New Roman" w:hAnsi="Times New Roman"/>
          <w:sz w:val="22"/>
          <w:szCs w:val="22"/>
          <w:color w:val="auto"/>
        </w:rPr>
        <w:t>Attn: Samantha Crispin, Esq.</w:t>
      </w:r>
    </w:p>
    <w:p>
      <w:pPr>
        <w:ind w:left="3600"/>
        <w:spacing w:after="0" w:line="218" w:lineRule="auto"/>
        <w:rPr>
          <w:sz w:val="20"/>
          <w:szCs w:val="20"/>
          <w:color w:val="auto"/>
        </w:rPr>
      </w:pPr>
      <w:r>
        <w:rPr>
          <w:rFonts w:ascii="Times New Roman" w:cs="Times New Roman" w:eastAsia="Times New Roman" w:hAnsi="Times New Roman"/>
          <w:sz w:val="22"/>
          <w:szCs w:val="22"/>
          <w:color w:val="auto"/>
        </w:rPr>
        <w:t>Nicole Perez, Esq.</w:t>
      </w:r>
    </w:p>
    <w:p>
      <w:pPr>
        <w:ind w:left="3020"/>
        <w:spacing w:after="0" w:line="230" w:lineRule="auto"/>
        <w:rPr>
          <w:sz w:val="20"/>
          <w:szCs w:val="20"/>
          <w:color w:val="auto"/>
        </w:rPr>
      </w:pPr>
      <w:r>
        <w:rPr>
          <w:rFonts w:ascii="Times New Roman" w:cs="Times New Roman" w:eastAsia="Times New Roman" w:hAnsi="Times New Roman"/>
          <w:sz w:val="22"/>
          <w:szCs w:val="22"/>
          <w:color w:val="auto"/>
        </w:rPr>
        <w:t>Email: [_______]</w:t>
      </w:r>
    </w:p>
    <w:p>
      <w:pPr>
        <w:spacing w:after="0" w:line="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[_______]</w:t>
      </w:r>
    </w:p>
    <w:p>
      <w:pPr>
        <w:spacing w:after="0" w:line="205" w:lineRule="exact"/>
        <w:rPr>
          <w:sz w:val="20"/>
          <w:szCs w:val="20"/>
          <w:color w:val="auto"/>
        </w:rPr>
      </w:pPr>
    </w:p>
    <w:p>
      <w:pPr>
        <w:ind w:left="1600" w:hanging="516"/>
        <w:spacing w:after="0"/>
        <w:tabs>
          <w:tab w:leader="none" w:pos="16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w:t>
      </w:r>
      <w:r>
        <w:rPr>
          <w:rFonts w:ascii="Times New Roman" w:cs="Times New Roman" w:eastAsia="Times New Roman" w:hAnsi="Times New Roman"/>
          <w:sz w:val="22"/>
          <w:szCs w:val="22"/>
          <w:i w:val="1"/>
          <w:iCs w:val="1"/>
          <w:u w:val="single" w:color="auto"/>
          <w:color w:val="auto"/>
        </w:rPr>
        <w:t>Exhibit A</w:t>
      </w:r>
      <w:r>
        <w:rPr>
          <w:rFonts w:ascii="Times New Roman" w:cs="Times New Roman" w:eastAsia="Times New Roman" w:hAnsi="Times New Roman"/>
          <w:sz w:val="22"/>
          <w:szCs w:val="22"/>
          <w:i w:val="1"/>
          <w:iCs w:val="1"/>
          <w:color w:val="auto"/>
        </w:rPr>
        <w:t>.</w:t>
      </w:r>
    </w:p>
    <w:p>
      <w:pPr>
        <w:spacing w:after="0" w:line="237" w:lineRule="exact"/>
        <w:rPr>
          <w:sz w:val="20"/>
          <w:szCs w:val="20"/>
          <w:color w:val="auto"/>
        </w:rPr>
      </w:pPr>
    </w:p>
    <w:p>
      <w:pPr>
        <w:ind w:left="2380" w:hanging="648"/>
        <w:spacing w:after="0" w:line="258" w:lineRule="auto"/>
        <w:tabs>
          <w:tab w:leader="none" w:pos="210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“Certificate of Designations” is hereby amended and restated in its entirety with the following:</w:t>
      </w:r>
    </w:p>
    <w:p>
      <w:pPr>
        <w:spacing w:after="0" w:line="179" w:lineRule="exact"/>
        <w:rPr>
          <w:sz w:val="20"/>
          <w:szCs w:val="20"/>
          <w:color w:val="auto"/>
        </w:rPr>
      </w:pPr>
    </w:p>
    <w:p>
      <w:pPr>
        <w:ind w:left="1080" w:right="20" w:firstLine="1296"/>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Certificate of Designations</w:t>
      </w:r>
      <w:r>
        <w:rPr>
          <w:rFonts w:ascii="Times New Roman" w:cs="Times New Roman" w:eastAsia="Times New Roman" w:hAnsi="Times New Roman"/>
          <w:sz w:val="22"/>
          <w:szCs w:val="22"/>
          <w:color w:val="auto"/>
        </w:rPr>
        <w:t>” means the Certificate of Designations setting forth the designations, powers, preferences, qualifications,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540" w:top="1402" w:right="339" w:bottom="1440" w:gutter="0" w:footer="0" w:header="0"/>
        </w:sectPr>
      </w:pPr>
    </w:p>
    <w:bookmarkStart w:id="97" w:name="page98"/>
    <w:bookmarkEnd w:id="97"/>
    <w:p>
      <w:pPr>
        <w:ind w:left="1080" w:right="20"/>
        <w:spacing w:after="0" w:line="258" w:lineRule="auto"/>
        <w:rPr>
          <w:sz w:val="20"/>
          <w:szCs w:val="20"/>
          <w:color w:val="auto"/>
        </w:rPr>
      </w:pPr>
      <w:r>
        <w:rPr>
          <w:rFonts w:ascii="Times New Roman" w:cs="Times New Roman" w:eastAsia="Times New Roman" w:hAnsi="Times New Roman"/>
          <w:sz w:val="22"/>
          <w:szCs w:val="22"/>
          <w:color w:val="auto"/>
        </w:rPr>
        <w:t>limitations and restrictions of the Series C Preferred Stock, dated as of December 29, 2025, as may be amended from time to time.”</w:t>
      </w:r>
    </w:p>
    <w:p>
      <w:pPr>
        <w:spacing w:after="0" w:line="185" w:lineRule="exact"/>
        <w:rPr>
          <w:sz w:val="20"/>
          <w:szCs w:val="20"/>
          <w:color w:val="auto"/>
        </w:rPr>
      </w:pPr>
    </w:p>
    <w:p>
      <w:pPr>
        <w:ind w:left="2380" w:hanging="648"/>
        <w:spacing w:after="0" w:line="258" w:lineRule="auto"/>
        <w:tabs>
          <w:tab w:leader="none" w:pos="231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“Registrable Securities” is hereby amended and restated in its entirety with the following:</w:t>
      </w:r>
    </w:p>
    <w:p>
      <w:pPr>
        <w:spacing w:after="0" w:line="179" w:lineRule="exact"/>
        <w:rPr>
          <w:sz w:val="20"/>
          <w:szCs w:val="20"/>
          <w:color w:val="auto"/>
        </w:rPr>
      </w:pPr>
    </w:p>
    <w:p>
      <w:pPr>
        <w:jc w:val="both"/>
        <w:ind w:left="1080" w:firstLine="1296"/>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means, as of any date of determination, (x) any shares of Series C Preferred Stock or Common Stock held by a Holder, including any shares of Common Stock hereafter acquired by any Holder pursuant to the conversion of the Series C Preferred Stock in accordance with the Certificate of Designations and (y) any other securities issued or issuable with respect to any such shares of Common Stock or Series C Preferred Stock by way of share split, share dividend, distribution, recapitalization, merger, exchange, replacement or similar event or otherwise (including, for the avoidance of doubt, a redemption, put or call transaction pursuant to the Certificate of Designations). As to any particular Registrable Securities, once issued, such securities shall cease to be Registrable Securities when (i) such securities are sold or otherwise transferred pursuant to an effective registration statement under the Securities Act, (ii) such securities shall have ceased to be outstanding, (iii) such securities have been transferred in a transaction in which the Holder’s rights under this Agreement are not assigned to the transferee of the securities, (iv) such securities are sold in a broker’s transaction under circumstances in which all of the applicable conditions of Rule 144 (or any similar provisions then in force) under the Securities Act are met, (v) such securities are eligible to be resold in a broker’s transaction under Rule 144 without regard to Rule 144’s volume and manner of sale restrictions and the Holder, collectively with its Affiliates, holds less than 3% of the Company’s then-outstanding shares of Common Stock and has no representative on the Company’s board of directors or (vi) such securities have been sold or transferred by any Holder thereof pursuant to Rule 144 (or any similar provision then in force under the Securities Act) and the transferee thereof does not receive “restricted securities” as defined in Rule 144. For purposes of this Agreement, a Person will be deemed to be a holder of Registrable Securities, and the Registrable Securities will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will be entitled to exercise the rights of a holder of Registrable Securities hereunder (it being understood that a holder of Registrable Securities may only request that Registrable Securities in the form of Common Stock be registered pursuant to this Agreement (even if such Holder does not yet hold its Registrable Securities in the form of Common Stock)).”</w:t>
      </w:r>
    </w:p>
    <w:p>
      <w:pPr>
        <w:spacing w:after="0" w:line="223" w:lineRule="exact"/>
        <w:rPr>
          <w:sz w:val="20"/>
          <w:szCs w:val="20"/>
          <w:color w:val="auto"/>
        </w:rPr>
      </w:pPr>
    </w:p>
    <w:p>
      <w:pPr>
        <w:ind w:left="2380" w:hanging="648"/>
        <w:spacing w:after="0" w:line="258" w:lineRule="auto"/>
        <w:tabs>
          <w:tab w:leader="none" w:pos="223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following definition of “Series C Preferred Stock” is hereby added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 alphabetical order:</w:t>
      </w:r>
    </w:p>
    <w:p>
      <w:pPr>
        <w:spacing w:after="0" w:line="179" w:lineRule="exact"/>
        <w:rPr>
          <w:sz w:val="20"/>
          <w:szCs w:val="20"/>
          <w:color w:val="auto"/>
        </w:rPr>
      </w:pPr>
    </w:p>
    <w:p>
      <w:pPr>
        <w:ind w:left="1000" w:firstLine="1377"/>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Series C Preferred Stock</w:t>
      </w:r>
      <w:r>
        <w:rPr>
          <w:rFonts w:ascii="Times New Roman" w:cs="Times New Roman" w:eastAsia="Times New Roman" w:hAnsi="Times New Roman"/>
          <w:sz w:val="22"/>
          <w:szCs w:val="22"/>
          <w:color w:val="auto"/>
        </w:rPr>
        <w:t>” means the Series C Convertible Preferred Stock, par value $0.001 per share, of the Company.”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408" w:right="339" w:bottom="1440" w:gutter="0" w:footer="0" w:header="0"/>
        </w:sectPr>
      </w:pPr>
    </w:p>
    <w:bookmarkStart w:id="98" w:name="page99"/>
    <w:bookmarkEnd w:id="98"/>
    <w:p>
      <w:pPr>
        <w:spacing w:after="0" w:line="208" w:lineRule="exact"/>
        <w:rPr>
          <w:sz w:val="20"/>
          <w:szCs w:val="20"/>
          <w:color w:val="auto"/>
        </w:rPr>
      </w:pPr>
    </w:p>
    <w:p>
      <w:pPr>
        <w:ind w:left="1820" w:hanging="516"/>
        <w:spacing w:after="0"/>
        <w:tabs>
          <w:tab w:leader="none" w:pos="18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Amendments.</w:t>
      </w:r>
    </w:p>
    <w:p>
      <w:pPr>
        <w:spacing w:after="0" w:line="237" w:lineRule="exact"/>
        <w:rPr>
          <w:rFonts w:ascii="Times New Roman" w:cs="Times New Roman" w:eastAsia="Times New Roman" w:hAnsi="Times New Roman"/>
          <w:sz w:val="22"/>
          <w:szCs w:val="22"/>
          <w:color w:val="auto"/>
        </w:rPr>
      </w:pPr>
    </w:p>
    <w:p>
      <w:pPr>
        <w:ind w:left="2600" w:hanging="648"/>
        <w:spacing w:after="0" w:line="258" w:lineRule="auto"/>
        <w:tabs>
          <w:tab w:leader="none" w:pos="2412"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all references to “Series B Preferred Stock”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hereby replaced with “Series C Preferred Stock.”</w:t>
      </w:r>
    </w:p>
    <w:p>
      <w:pPr>
        <w:spacing w:after="0" w:line="179" w:lineRule="exact"/>
        <w:rPr>
          <w:sz w:val="20"/>
          <w:szCs w:val="20"/>
          <w:color w:val="auto"/>
        </w:rPr>
      </w:pPr>
    </w:p>
    <w:p>
      <w:pPr>
        <w:ind w:left="500"/>
        <w:spacing w:after="0"/>
        <w:tabs>
          <w:tab w:leader="none" w:pos="160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b w:val="1"/>
          <w:bCs w:val="1"/>
          <w:i w:val="1"/>
          <w:iCs w:val="1"/>
          <w:color w:val="auto"/>
        </w:rPr>
        <w:t>General Provisions</w:t>
      </w:r>
    </w:p>
    <w:p>
      <w:pPr>
        <w:spacing w:after="0" w:line="235" w:lineRule="exact"/>
        <w:rPr>
          <w:sz w:val="20"/>
          <w:szCs w:val="20"/>
          <w:color w:val="auto"/>
        </w:rPr>
      </w:pPr>
    </w:p>
    <w:p>
      <w:pPr>
        <w:ind w:right="20" w:firstLine="1304"/>
        <w:spacing w:after="0" w:line="262" w:lineRule="auto"/>
        <w:tabs>
          <w:tab w:leader="none" w:pos="180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No amendment to the Registration Rights Agreement, as amended by this Amendment,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valid unless such amendment is made in accordance with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the Registration Rights Agreement.</w:t>
      </w:r>
    </w:p>
    <w:p>
      <w:pPr>
        <w:spacing w:after="0" w:line="163" w:lineRule="exact"/>
        <w:rPr>
          <w:rFonts w:ascii="Times New Roman" w:cs="Times New Roman" w:eastAsia="Times New Roman" w:hAnsi="Times New Roman"/>
          <w:sz w:val="22"/>
          <w:szCs w:val="22"/>
          <w:color w:val="auto"/>
        </w:rPr>
      </w:pPr>
    </w:p>
    <w:p>
      <w:pPr>
        <w:jc w:val="both"/>
        <w:ind w:firstLine="1304"/>
        <w:spacing w:after="0" w:line="238" w:lineRule="auto"/>
        <w:tabs>
          <w:tab w:leader="none" w:pos="1912"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Amendment may be executed in any number of counterparts, each of which when so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executed shall be deemed to be an original and all of which taken together shall constitute one and the same Amendment. In the event that any signature is delivered by facsimile or electronic mail transmission, such signature shall create a valid binding obligation of the Party executing (or on whose behalf such signature is executed) the same with the same force and effect as if such signature delivered by facsimile or electronic mail transmission were the original thereof</w:t>
      </w:r>
      <w:r>
        <w:rPr>
          <w:rFonts w:ascii="Times New Roman" w:cs="Times New Roman" w:eastAsia="Times New Roman" w:hAnsi="Times New Roman"/>
          <w:sz w:val="22"/>
          <w:szCs w:val="22"/>
          <w:i w:val="1"/>
          <w:iCs w:val="1"/>
          <w:color w:val="auto"/>
        </w:rPr>
        <w:t>.</w:t>
      </w:r>
    </w:p>
    <w:p>
      <w:pPr>
        <w:spacing w:after="0" w:line="20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27"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term, provision, covenant or restriction of this Amendment is held by a court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jurisdiction to be invalid, illegal, void or unenforceable, the remainder of the terms, provisions, covenants and restrictions set forth herein shall remain in full force and effect and shall in no way be affected, impaired or invalidated, and the Parties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3" w:lineRule="exact"/>
        <w:rPr>
          <w:rFonts w:ascii="Times New Roman" w:cs="Times New Roman" w:eastAsia="Times New Roman" w:hAnsi="Times New Roman"/>
          <w:sz w:val="22"/>
          <w:szCs w:val="22"/>
          <w:color w:val="auto"/>
        </w:rPr>
      </w:pPr>
    </w:p>
    <w:p>
      <w:pPr>
        <w:ind w:firstLine="1304"/>
        <w:spacing w:after="0" w:line="286" w:lineRule="auto"/>
        <w:tabs>
          <w:tab w:leader="none" w:pos="184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Effect of the Amendment</w:t>
      </w:r>
      <w:r>
        <w:rPr>
          <w:rFonts w:ascii="Times New Roman" w:cs="Times New Roman" w:eastAsia="Times New Roman" w:hAnsi="Times New Roman"/>
          <w:sz w:val="21"/>
          <w:szCs w:val="21"/>
          <w:color w:val="auto"/>
        </w:rPr>
        <w:t>. Except as amended by this Amendment, all other terms of the Registration Rights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shall continue in full force and effect and remain unchanged and are hereby confirmed in all respects by each party.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color w:val="auto"/>
        </w:rPr>
        <w:t>IN WITNESS WHEREOF, the parties hereto execute this Amendment, effective as of the date first written above.</w:t>
      </w:r>
    </w:p>
    <w:p>
      <w:pPr>
        <w:sectPr>
          <w:pgSz w:w="11900" w:h="16838" w:orient="portrait"/>
          <w:cols w:equalWidth="0" w:num="1">
            <w:col w:w="9840"/>
          </w:cols>
          <w:pgMar w:left="980" w:top="1422" w:right="1079" w:bottom="1440" w:gutter="0" w:footer="0" w:header="0"/>
        </w:sectPr>
      </w:pP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4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COMSCORE, INC.</w:t>
      </w:r>
    </w:p>
    <w:p>
      <w:pPr>
        <w:spacing w:after="0" w:line="200" w:lineRule="exact"/>
        <w:rPr>
          <w:sz w:val="20"/>
          <w:szCs w:val="20"/>
          <w:color w:val="auto"/>
        </w:rPr>
      </w:pPr>
    </w:p>
    <w:p>
      <w:pPr>
        <w:spacing w:after="0" w:line="307" w:lineRule="exact"/>
        <w:rPr>
          <w:sz w:val="20"/>
          <w:szCs w:val="20"/>
          <w:color w:val="auto"/>
        </w:rPr>
      </w:pPr>
    </w:p>
    <w:p>
      <w:pPr>
        <w:ind w:left="3240"/>
        <w:spacing w:after="0"/>
        <w:tabs>
          <w:tab w:leader="none" w:pos="3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Margaret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-13970</wp:posOffset>
            </wp:positionV>
            <wp:extent cx="1486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1486535" cy="8255"/>
                    </a:xfrm>
                    <a:prstGeom prst="rect">
                      <a:avLst/>
                    </a:prstGeom>
                    <a:noFill/>
                  </pic:spPr>
                </pic:pic>
              </a:graphicData>
            </a:graphic>
          </wp:anchor>
        </w:drawing>
      </w:r>
    </w:p>
    <w:p>
      <w:pPr>
        <w:spacing w:after="0" w:line="8" w:lineRule="exact"/>
        <w:rPr>
          <w:sz w:val="20"/>
          <w:szCs w:val="20"/>
          <w:color w:val="auto"/>
        </w:rPr>
      </w:pPr>
    </w:p>
    <w:p>
      <w:pPr>
        <w:ind w:left="3240"/>
        <w:spacing w:after="0"/>
        <w:tabs>
          <w:tab w:leader="none" w:pos="40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Margaret Curry</w:t>
      </w:r>
    </w:p>
    <w:p>
      <w:pPr>
        <w:spacing w:after="0" w:line="4" w:lineRule="exact"/>
        <w:rPr>
          <w:sz w:val="20"/>
          <w:szCs w:val="20"/>
          <w:color w:val="auto"/>
        </w:rPr>
      </w:pPr>
    </w:p>
    <w:p>
      <w:pPr>
        <w:ind w:left="3240"/>
        <w:spacing w:after="0"/>
        <w:tabs>
          <w:tab w:leader="none" w:pos="3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929292"/>
        </w:rPr>
        <w:t>SIGNATURE PAGE TO</w:t>
      </w:r>
    </w:p>
    <w:p>
      <w:pPr>
        <w:spacing w:after="0" w:line="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929292"/>
        </w:rPr>
        <w:t>FIRST AMENDMENT TO REGISTRATION RIGHTS AGREEMENT</w:t>
      </w:r>
    </w:p>
    <w:p>
      <w:pPr>
        <w:sectPr>
          <w:pgSz w:w="11900" w:h="16838" w:orient="portrait"/>
          <w:cols w:equalWidth="0" w:num="1">
            <w:col w:w="9840"/>
          </w:cols>
          <w:pgMar w:left="980" w:top="1422" w:right="1079" w:bottom="1440" w:gutter="0" w:footer="0" w:header="0"/>
          <w:type w:val="continuous"/>
        </w:sectPr>
      </w:pPr>
    </w:p>
    <w:bookmarkStart w:id="100" w:name="page101"/>
    <w:bookmarkEnd w:id="100"/>
    <w:p>
      <w:pPr>
        <w:ind w:left="2780"/>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CHARTER COMMUNICATIONS HOLDING COMPANY, LLC</w:t>
      </w: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Charter Communications, Inc., Its Manager</w:t>
      </w:r>
    </w:p>
    <w:p>
      <w:pPr>
        <w:spacing w:after="0" w:line="200" w:lineRule="exact"/>
        <w:rPr>
          <w:sz w:val="20"/>
          <w:szCs w:val="20"/>
          <w:color w:val="auto"/>
        </w:rPr>
      </w:pPr>
    </w:p>
    <w:p>
      <w:pPr>
        <w:spacing w:after="0" w:line="30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Jeffrey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315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Jeffrey B. Murphy</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SVP, Corporate Finance and Development</w:t>
      </w: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LIBERTY BROADBAND CORPORATION</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Craig Troyer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083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008380" cy="8890"/>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Craig Troyer</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PINE INVESTOR, LLC</w:t>
      </w:r>
    </w:p>
    <w:p>
      <w:pPr>
        <w:spacing w:after="0" w:line="200" w:lineRule="exact"/>
        <w:rPr>
          <w:sz w:val="20"/>
          <w:szCs w:val="20"/>
          <w:color w:val="auto"/>
        </w:rPr>
      </w:pPr>
    </w:p>
    <w:p>
      <w:pPr>
        <w:spacing w:after="0" w:line="29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Jacob B.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192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Jacob B. Hansen</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929292"/>
        </w:rPr>
        <w:t>SIGNATURE PAGE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929292"/>
        </w:rPr>
        <w:t>FIRST AMENDMENT TO REGISTRATION RIGHTS AGREEMENT</w:t>
      </w:r>
    </w:p>
    <w:sectPr>
      <w:pgSz w:w="11900" w:h="16838" w:orient="portrait"/>
      <w:cols w:equalWidth="0" w:num="1">
        <w:col w:w="9019"/>
      </w:cols>
      <w:pgMar w:left="1440" w:top="14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1"/>
      <w:numFmt w:val="decimal"/>
      <w:start w:val="104"/>
    </w:lvl>
  </w:abstractNum>
  <w:abstractNum w:abstractNumId="2">
    <w:nsid w:val="79A1DEAA"/>
    <w:multiLevelType w:val="hybridMultilevel"/>
    <w:lvl w:ilvl="0">
      <w:lvlJc w:val="left"/>
      <w:lvlText w:val="%1."/>
      <w:numFmt w:val="decimal"/>
      <w:start w:val="1"/>
    </w:lvl>
  </w:abstractNum>
  <w:abstractNum w:abstractNumId="3">
    <w:nsid w:val="75C6C33A"/>
    <w:multiLevelType w:val="hybridMultilevel"/>
    <w:lvl w:ilvl="0">
      <w:lvlJc w:val="left"/>
      <w:lvlText w:val="%1."/>
      <w:numFmt w:val="decimal"/>
      <w:start w:val="5"/>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decimal"/>
      <w:start w:val="10"/>
    </w:lvl>
  </w:abstractNum>
  <w:abstractNum w:abstractNumId="7">
    <w:nsid w:val="374A3FE6"/>
    <w:multiLevelType w:val="hybridMultilevel"/>
    <w:lvl w:ilvl="0">
      <w:lvlJc w:val="left"/>
      <w:lvlText w:val="%1"/>
      <w:numFmt w:val="lowerLetter"/>
      <w:start w:val="1"/>
    </w:lvl>
    <w:lvl w:ilvl="1">
      <w:lvlJc w:val="left"/>
      <w:lvlText w:val="(%2)"/>
      <w:numFmt w:val="lowerLetter"/>
      <w:start w:val="1"/>
    </w:lvl>
  </w:abstractNum>
  <w:abstractNum w:abstractNumId="8">
    <w:nsid w:val="4F4EF005"/>
    <w:multiLevelType w:val="hybridMultilevel"/>
    <w:lvl w:ilvl="0">
      <w:lvlJc w:val="left"/>
      <w:lvlText w:val="(%1)"/>
      <w:numFmt w:val="lowerLetter"/>
      <w:start w:val="9"/>
    </w:lvl>
    <w:lvl w:ilvl="1">
      <w:lvlJc w:val="left"/>
      <w:lvlText w:val="(%2)"/>
      <w:numFmt w:val="lowerLetter"/>
      <w:start w:val="2"/>
    </w:lvl>
  </w:abstractNum>
  <w:abstractNum w:abstractNumId="9">
    <w:nsid w:val="23F9C13C"/>
    <w:multiLevelType w:val="hybridMultilevel"/>
    <w:lvl w:ilvl="0">
      <w:lvlJc w:val="left"/>
      <w:lvlText w:val="(%1)"/>
      <w:numFmt w:val="lowerLetter"/>
      <w:start w:val="3"/>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1)"/>
      <w:numFmt w:val="lowerLetter"/>
      <w:start w:val="1"/>
    </w:lvl>
  </w:abstractNum>
  <w:abstractNum w:abstractNumId="12">
    <w:nsid w:val="39386575"/>
    <w:multiLevelType w:val="hybridMultilevel"/>
    <w:lvl w:ilvl="0">
      <w:lvlJc w:val="left"/>
      <w:lvlText w:val="(%1)"/>
      <w:numFmt w:val="lowerLetter"/>
      <w:start w:val="1"/>
    </w:lvl>
  </w:abstractNum>
  <w:abstractNum w:abstractNumId="13">
    <w:nsid w:val="1CF10FD8"/>
    <w:multiLevelType w:val="hybridMultilevel"/>
    <w:lvl w:ilvl="0">
      <w:lvlJc w:val="left"/>
      <w:lvlText w:val="(%1)"/>
      <w:numFmt w:val="lowerLetter"/>
      <w:start w:val="2"/>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2"/>
    </w:lvl>
    <w:lvl w:ilvl="1">
      <w:lvlJc w:val="left"/>
      <w:lvlText w:val="(%2)"/>
      <w:numFmt w:val="lowerRoman"/>
      <w:start w:val="1"/>
    </w:lvl>
  </w:abstractNum>
  <w:abstractNum w:abstractNumId="17">
    <w:nsid w:val="354FE9F9"/>
    <w:multiLevelType w:val="hybridMultilevel"/>
    <w:lvl w:ilvl="0">
      <w:lvlJc w:val="left"/>
      <w:lvlText w:val="(%1)"/>
      <w:numFmt w:val="lowerLetter"/>
      <w:start w:val="1"/>
    </w:lvl>
    <w:lvl w:ilvl="1">
      <w:lvlJc w:val="left"/>
      <w:lvlText w:val="(%2)"/>
      <w:numFmt w:val="lowerRoman"/>
      <w:start w:val="1"/>
    </w:lvl>
  </w:abstractNum>
  <w:abstractNum w:abstractNumId="18">
    <w:nsid w:val="15B5AF5C"/>
    <w:multiLevelType w:val="hybridMultilevel"/>
    <w:lvl w:ilvl="0">
      <w:lvlJc w:val="left"/>
      <w:lvlText w:val="(%1)"/>
      <w:numFmt w:val="lowerLetter"/>
      <w:start w:val="2"/>
    </w:lvl>
  </w:abstractNum>
  <w:abstractNum w:abstractNumId="19">
    <w:nsid w:val="741226BB"/>
    <w:multiLevelType w:val="hybridMultilevel"/>
    <w:lvl w:ilvl="0">
      <w:lvlJc w:val="left"/>
      <w:lvlText w:val="(%1)"/>
      <w:numFmt w:val="lowerLetter"/>
      <w:start w:val="5"/>
    </w:lvl>
  </w:abstractNum>
  <w:abstractNum w:abstractNumId="20">
    <w:nsid w:val="D34B6A8"/>
    <w:multiLevelType w:val="hybridMultilevel"/>
    <w:lvl w:ilvl="0">
      <w:lvlJc w:val="left"/>
      <w:lvlText w:val="(%1)"/>
      <w:numFmt w:val="lowerLetter"/>
      <w:start w:val="1"/>
    </w:lvl>
  </w:abstractNum>
  <w:abstractNum w:abstractNumId="21">
    <w:nsid w:val="10233C99"/>
    <w:multiLevelType w:val="hybridMultilevel"/>
    <w:lvl w:ilvl="0">
      <w:lvlJc w:val="left"/>
      <w:lvlText w:val="%1"/>
      <w:numFmt w:val="lowerLetter"/>
      <w:start w:val="1"/>
    </w:lvl>
    <w:lvl w:ilvl="1">
      <w:lvlJc w:val="left"/>
      <w:lvlText w:val="(%2)"/>
      <w:numFmt w:val="lowerRoman"/>
      <w:start w:val="1"/>
    </w:lvl>
  </w:abstractNum>
  <w:abstractNum w:abstractNumId="22">
    <w:nsid w:val="3F6AB60F"/>
    <w:multiLevelType w:val="hybridMultilevel"/>
    <w:lvl w:ilvl="0">
      <w:lvlJc w:val="left"/>
      <w:lvlText w:val="(%1)"/>
      <w:numFmt w:val="lowerLetter"/>
      <w:start w:val="2"/>
    </w:lvl>
    <w:lvl w:ilvl="1">
      <w:lvlJc w:val="left"/>
      <w:lvlText w:val="%2"/>
      <w:numFmt w:val="lowerRoman"/>
      <w:start w:val="1"/>
    </w:lvl>
  </w:abstractNum>
  <w:abstractNum w:abstractNumId="23">
    <w:nsid w:val="61574095"/>
    <w:multiLevelType w:val="hybridMultilevel"/>
    <w:lvl w:ilvl="0">
      <w:lvlJc w:val="left"/>
      <w:lvlText w:val="(%1)"/>
      <w:numFmt w:val="lowerLetter"/>
      <w:start w:val="5"/>
    </w:lvl>
  </w:abstractNum>
  <w:abstractNum w:abstractNumId="24">
    <w:nsid w:val="7E0C57B1"/>
    <w:multiLevelType w:val="hybridMultilevel"/>
    <w:lvl w:ilvl="0">
      <w:lvlJc w:val="left"/>
      <w:lvlText w:val="(%1)"/>
      <w:numFmt w:val="decimal"/>
      <w:start w:val="2"/>
    </w:lvl>
  </w:abstractNum>
  <w:abstractNum w:abstractNumId="25">
    <w:nsid w:val="77AE35EB"/>
    <w:multiLevelType w:val="hybridMultilevel"/>
    <w:lvl w:ilvl="0">
      <w:lvlJc w:val="left"/>
      <w:lvlText w:val="(%1)"/>
      <w:numFmt w:val="lowerLetter"/>
      <w:start w:val="9"/>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Roman"/>
      <w:start w:val="1"/>
    </w:lvl>
  </w:abstractNum>
  <w:abstractNum w:abstractNumId="28">
    <w:nsid w:val="5FF87E05"/>
    <w:multiLevelType w:val="hybridMultilevel"/>
    <w:lvl w:ilvl="0">
      <w:lvlJc w:val="left"/>
      <w:lvlText w:val="(%1)"/>
      <w:numFmt w:val="lowerRoman"/>
      <w:start w:val="2"/>
    </w:lvl>
  </w:abstractNum>
  <w:abstractNum w:abstractNumId="29">
    <w:nsid w:val="2F305DEF"/>
    <w:multiLevelType w:val="hybridMultilevel"/>
    <w:lvl w:ilvl="0">
      <w:lvlJc w:val="left"/>
      <w:lvlText w:val="(%1)"/>
      <w:numFmt w:val="lowerRoman"/>
      <w:start w:val="3"/>
    </w:lvl>
  </w:abstractNum>
  <w:abstractNum w:abstractNumId="30">
    <w:nsid w:val="25A70BF7"/>
    <w:multiLevelType w:val="hybridMultilevel"/>
    <w:lvl w:ilvl="0">
      <w:lvlJc w:val="left"/>
      <w:lvlText w:val="(%1)"/>
      <w:numFmt w:val="lowerRoman"/>
      <w:start w:val="4"/>
    </w:lvl>
  </w:abstractNum>
  <w:abstractNum w:abstractNumId="31">
    <w:nsid w:val="1DBABF00"/>
    <w:multiLevelType w:val="hybridMultilevel"/>
    <w:lvl w:ilvl="0">
      <w:lvlJc w:val="left"/>
      <w:lvlText w:val="(%1)"/>
      <w:numFmt w:val="lowerRoman"/>
      <w:start w:val="5"/>
    </w:lvl>
  </w:abstractNum>
  <w:abstractNum w:abstractNumId="32">
    <w:nsid w:val="4AD084E9"/>
    <w:multiLevelType w:val="hybridMultilevel"/>
    <w:lvl w:ilvl="0">
      <w:lvlJc w:val="left"/>
      <w:lvlText w:val="(%1)"/>
      <w:numFmt w:val="lowerRoman"/>
      <w:start w:val="6"/>
    </w:lvl>
  </w:abstractNum>
  <w:abstractNum w:abstractNumId="33">
    <w:nsid w:val="1F48EAA1"/>
    <w:multiLevelType w:val="hybridMultilevel"/>
    <w:lvl w:ilvl="0">
      <w:lvlJc w:val="left"/>
      <w:lvlText w:val="(%1)"/>
      <w:numFmt w:val="lowerRoman"/>
      <w:start w:val="7"/>
    </w:lvl>
  </w:abstractNum>
  <w:abstractNum w:abstractNumId="34">
    <w:nsid w:val="1381823A"/>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35">
    <w:nsid w:val="5DB70AE5"/>
    <w:multiLevelType w:val="hybridMultilevel"/>
    <w:lvl w:ilvl="0">
      <w:lvlJc w:val="left"/>
      <w:lvlText w:val="(%1)"/>
      <w:numFmt w:val="lowerLetter"/>
      <w:start w:val="4"/>
    </w:lvl>
    <w:lvl w:ilvl="1">
      <w:lvlJc w:val="left"/>
      <w:lvlText w:val="(%2)"/>
      <w:numFmt w:val="lowerRoman"/>
      <w:start w:val="1"/>
    </w:lvl>
  </w:abstractNum>
  <w:abstractNum w:abstractNumId="36">
    <w:nsid w:val="100F8FCA"/>
    <w:multiLevelType w:val="hybridMultilevel"/>
    <w:lvl w:ilvl="0">
      <w:lvlJc w:val="left"/>
      <w:lvlText w:val="(%1)"/>
      <w:numFmt w:val="lowerLetter"/>
      <w:start w:val="1"/>
    </w:lvl>
    <w:lvl w:ilvl="1">
      <w:lvlJc w:val="left"/>
      <w:lvlText w:val="(%2)"/>
      <w:numFmt w:val="lowerRoman"/>
      <w:start w:val="1"/>
    </w:lvl>
  </w:abstractNum>
  <w:abstractNum w:abstractNumId="37">
    <w:nsid w:val="6590700B"/>
    <w:multiLevelType w:val="hybridMultilevel"/>
    <w:lvl w:ilvl="0">
      <w:lvlJc w:val="left"/>
      <w:lvlText w:val="(%1)"/>
      <w:numFmt w:val="lowerLetter"/>
      <w:start w:val="2"/>
    </w:lvl>
  </w:abstractNum>
  <w:abstractNum w:abstractNumId="38">
    <w:nsid w:val="15014ACB"/>
    <w:multiLevelType w:val="hybridMultilevel"/>
    <w:lvl w:ilvl="0">
      <w:lvlJc w:val="left"/>
      <w:lvlText w:val="(%1)"/>
      <w:numFmt w:val="lowerLetter"/>
      <w:start w:val="1"/>
    </w:lvl>
  </w:abstractNum>
  <w:abstractNum w:abstractNumId="39">
    <w:nsid w:val="5F5E7FD0"/>
    <w:multiLevelType w:val="hybridMultilevel"/>
    <w:lvl w:ilvl="0">
      <w:lvlJc w:val="left"/>
      <w:lvlText w:val="(%1)"/>
      <w:numFmt w:val="lowerLetter"/>
      <w:start w:val="2"/>
    </w:lvl>
    <w:lvl w:ilvl="1">
      <w:lvlJc w:val="left"/>
      <w:lvlText w:val="(%2)"/>
      <w:numFmt w:val="lowerRoman"/>
      <w:start w:val="1"/>
    </w:lvl>
  </w:abstractNum>
  <w:abstractNum w:abstractNumId="40">
    <w:nsid w:val="98A3148"/>
    <w:multiLevelType w:val="hybridMultilevel"/>
    <w:lvl w:ilvl="0">
      <w:lvlJc w:val="left"/>
      <w:lvlText w:val="(%1)"/>
      <w:numFmt w:val="lowerLetter"/>
      <w:start w:val="5"/>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lowerLetter"/>
      <w:start w:val="2"/>
    </w:lvl>
  </w:abstractNum>
  <w:abstractNum w:abstractNumId="43">
    <w:nsid w:val="42C296BD"/>
    <w:multiLevelType w:val="hybridMultilevel"/>
    <w:lvl w:ilvl="0">
      <w:lvlJc w:val="left"/>
      <w:lvlText w:val="(%1)"/>
      <w:numFmt w:val="lowerLetter"/>
      <w:start w:val="1"/>
    </w:lvl>
  </w:abstractNum>
  <w:abstractNum w:abstractNumId="44">
    <w:nsid w:val="168E121F"/>
    <w:multiLevelType w:val="hybridMultilevel"/>
    <w:lvl w:ilvl="0">
      <w:lvlJc w:val="left"/>
      <w:lvlText w:val="(%1)"/>
      <w:numFmt w:val="lowerLetter"/>
      <w:start w:val="3"/>
    </w:lvl>
  </w:abstractNum>
  <w:abstractNum w:abstractNumId="45">
    <w:nsid w:val="1EBA5D23"/>
    <w:multiLevelType w:val="hybridMultilevel"/>
    <w:lvl w:ilvl="0">
      <w:lvlJc w:val="left"/>
      <w:lvlText w:val="(%1)"/>
      <w:numFmt w:val="lowerLetter"/>
      <w:start w:val="2"/>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upperLetter"/>
      <w:start w:val="1"/>
    </w:lvl>
    <w:lvl w:ilvl="1">
      <w:lvlJc w:val="left"/>
      <w:lvlText w:val="(%2)"/>
      <w:numFmt w:val="decimal"/>
      <w:start w:val="2"/>
    </w:lvl>
  </w:abstractNum>
  <w:abstractNum w:abstractNumId="48">
    <w:nsid w:val="540A471C"/>
    <w:multiLevelType w:val="hybridMultilevel"/>
    <w:lvl w:ilvl="0">
      <w:lvlJc w:val="left"/>
      <w:lvlText w:val="(%1)"/>
      <w:numFmt w:val="upperLetter"/>
      <w:start w:val="1"/>
    </w:lvl>
    <w:lvl w:ilvl="1">
      <w:lvlJc w:val="left"/>
      <w:lvlText w:val="(%2)"/>
      <w:numFmt w:val="decimal"/>
      <w:start w:val="12"/>
    </w:lvl>
  </w:abstractNum>
  <w:abstractNum w:abstractNumId="49">
    <w:nsid w:val="7BD3EE7B"/>
    <w:multiLevelType w:val="hybridMultilevel"/>
    <w:lvl w:ilvl="0">
      <w:lvlJc w:val="left"/>
      <w:lvlText w:val="(%1)"/>
      <w:numFmt w:val="lowerLetter"/>
      <w:start w:val="3"/>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upperLetter"/>
      <w:start w:val="1"/>
    </w:lvl>
  </w:abstractNum>
  <w:abstractNum w:abstractNumId="52">
    <w:nsid w:val="BF72B14"/>
    <w:multiLevelType w:val="hybridMultilevel"/>
    <w:lvl w:ilvl="0">
      <w:lvlJc w:val="left"/>
      <w:lvlText w:val="(%1)"/>
      <w:numFmt w:val="upperLetter"/>
      <w:start w:val="1"/>
    </w:lvl>
  </w:abstractNum>
  <w:abstractNum w:abstractNumId="53">
    <w:nsid w:val="11447B73"/>
    <w:multiLevelType w:val="hybridMultilevel"/>
    <w:lvl w:ilvl="0">
      <w:lvlJc w:val="left"/>
      <w:lvlText w:val="(%1)"/>
      <w:numFmt w:val="lowerLetter"/>
      <w:start w:val="1"/>
    </w:lvl>
  </w:abstractNum>
  <w:abstractNum w:abstractNumId="54">
    <w:nsid w:val="42963E5A"/>
    <w:multiLevelType w:val="hybridMultilevel"/>
    <w:lvl w:ilvl="0">
      <w:lvlJc w:val="left"/>
      <w:lvlText w:val="(%1)"/>
      <w:numFmt w:val="lowerLetter"/>
      <w:start w:val="4"/>
    </w:lvl>
  </w:abstractNum>
  <w:abstractNum w:abstractNumId="55">
    <w:nsid w:val="A0382C5"/>
    <w:multiLevelType w:val="hybridMultilevel"/>
    <w:lvl w:ilvl="0">
      <w:lvlJc w:val="left"/>
      <w:lvlText w:val="(%1)"/>
      <w:numFmt w:val="lowerLetter"/>
      <w:start w:val="8"/>
    </w:lvl>
  </w:abstractNum>
  <w:abstractNum w:abstractNumId="56">
    <w:nsid w:val="8F2B15E"/>
    <w:multiLevelType w:val="hybridMultilevel"/>
    <w:lvl w:ilvl="0">
      <w:lvlJc w:val="left"/>
      <w:lvlText w:val="(%1)"/>
      <w:numFmt w:val="lowerLetter"/>
      <w:start w:val="15"/>
    </w:lvl>
  </w:abstractNum>
  <w:abstractNum w:abstractNumId="57">
    <w:nsid w:val="1A32234B"/>
    <w:multiLevelType w:val="hybridMultilevel"/>
    <w:lvl w:ilvl="0">
      <w:lvlJc w:val="left"/>
      <w:lvlText w:val="(%1)"/>
      <w:numFmt w:val="lowerLetter"/>
      <w:start w:val="19"/>
    </w:lvl>
  </w:abstractNum>
  <w:abstractNum w:abstractNumId="58">
    <w:nsid w:val="3B0FD379"/>
    <w:multiLevelType w:val="hybridMultilevel"/>
    <w:lvl w:ilvl="0">
      <w:lvlJc w:val="left"/>
      <w:lvlText w:val="(%1)"/>
      <w:numFmt w:val="lowerLetter"/>
      <w:start w:val="1"/>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1)"/>
      <w:numFmt w:val="lowerLetter"/>
      <w:start w:val="2"/>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lowerLetter"/>
      <w:start w:val="2"/>
    </w:lvl>
  </w:abstractNum>
  <w:abstractNum w:abstractNumId="63">
    <w:nsid w:val="14330624"/>
    <w:multiLevelType w:val="hybridMultilevel"/>
    <w:lvl w:ilvl="0">
      <w:lvlJc w:val="left"/>
      <w:lvlText w:val="(%1)"/>
      <w:numFmt w:val="lowerLetter"/>
      <w:start w:val="5"/>
    </w:lvl>
    <w:lvl w:ilvl="1">
      <w:lvlJc w:val="left"/>
      <w:lvlText w:val="(%2)"/>
      <w:numFmt w:val="lowerRoman"/>
      <w:start w:val="1"/>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5"/>
    </w:lvl>
  </w:abstractNum>
  <w:abstractNum w:abstractNumId="66">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7">
    <w:nsid w:val="100F59D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5"/>
    </w:lvl>
  </w:abstractNum>
  <w:abstractNum w:abstractNumId="68">
    <w:nsid w:val="7FB7E0AA"/>
    <w:multiLevelType w:val="hybridMultilevel"/>
    <w:lvl w:ilvl="0">
      <w:lvlJc w:val="left"/>
      <w:lvlText w:val="(%1)"/>
      <w:numFmt w:val="decimal"/>
      <w:start w:val="45"/>
    </w:lvl>
    <w:lvl w:ilvl="1">
      <w:lvlJc w:val="left"/>
      <w:lvlText w:val="(%2)"/>
      <w:numFmt w:val="lowerLetter"/>
      <w:start w:val="2"/>
    </w:lvl>
    <w:lvl w:ilvl="2">
      <w:lvlJc w:val="left"/>
      <w:lvlText w:val="(%3)"/>
      <w:numFmt w:val="lowerRoman"/>
      <w:start w:val="1"/>
    </w:lvl>
  </w:abstractNum>
  <w:abstractNum w:abstractNumId="69">
    <w:nsid w:val="6EB5BD4"/>
    <w:multiLevelType w:val="hybridMultilevel"/>
    <w:lvl w:ilvl="0">
      <w:lvlJc w:val="left"/>
      <w:lvlText w:val="(%1)"/>
      <w:numFmt w:val="lowerLetter"/>
      <w:start w:val="3"/>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lowerLetter"/>
      <w:start w:val="13"/>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2"/>
    </w:lvl>
  </w:abstractNum>
  <w:abstractNum w:abstractNumId="74">
    <w:nsid w:val="4C04A8AF"/>
    <w:multiLevelType w:val="hybridMultilevel"/>
    <w:lvl w:ilvl="0">
      <w:lvlJc w:val="left"/>
      <w:lvlText w:val="(%1)"/>
      <w:numFmt w:val="lowerLetter"/>
      <w:start w:val="6"/>
    </w:lvl>
  </w:abstractNum>
  <w:abstractNum w:abstractNumId="75">
    <w:nsid w:val="1716703B"/>
    <w:multiLevelType w:val="hybridMultilevel"/>
    <w:lvl w:ilvl="0">
      <w:lvlJc w:val="left"/>
      <w:lvlText w:val="(%1)"/>
      <w:numFmt w:val="lowerLetter"/>
      <w:start w:val="1"/>
    </w:lvl>
    <w:lvl w:ilvl="1">
      <w:lvlJc w:val="left"/>
      <w:lvlText w:val="(%2)"/>
      <w:numFmt w:val="lowerLetter"/>
      <w:start w:val="9"/>
    </w:lvl>
  </w:abstractNum>
  <w:abstractNum w:abstractNumId="76">
    <w:nsid w:val="14E17E33"/>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77">
    <w:nsid w:val="3222E7C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8">
    <w:nsid w:val="74DE0EE3"/>
    <w:multiLevelType w:val="hybridMultilevel"/>
    <w:lvl w:ilvl="0">
      <w:lvlJc w:val="left"/>
      <w:lvlText w:val="(%1)"/>
      <w:numFmt w:val="lowerRoman"/>
      <w:start w:val="2"/>
    </w:lvl>
  </w:abstractNum>
  <w:abstractNum w:abstractNumId="79">
    <w:nsid w:val="68EBC550"/>
    <w:multiLevelType w:val="hybridMultilevel"/>
    <w:lvl w:ilvl="0">
      <w:lvlJc w:val="left"/>
      <w:lvlText w:val="(%1)"/>
      <w:numFmt w:val="lowerLetter"/>
      <w:start w:val="3"/>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2"/>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lowerLetter"/>
      <w:start w:val="2"/>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2"/>
    </w:lvl>
    <w:lvl w:ilvl="1">
      <w:lvlJc w:val="left"/>
      <w:lvlText w:val="(%2)"/>
      <w:numFmt w:val="lowerRoman"/>
      <w:start w:val="1"/>
    </w:lvl>
  </w:abstractNum>
  <w:abstractNum w:abstractNumId="88">
    <w:nsid w:val="26F324BA"/>
    <w:multiLevelType w:val="hybridMultilevel"/>
    <w:lvl w:ilvl="0">
      <w:lvlJc w:val="left"/>
      <w:lvlText w:val="(%1)"/>
      <w:numFmt w:val="lowerLetter"/>
      <w:start w:val="3"/>
    </w:lvl>
  </w:abstractNum>
  <w:abstractNum w:abstractNumId="89">
    <w:nsid w:val="7F01579B"/>
    <w:multiLevelType w:val="hybridMultilevel"/>
    <w:lvl w:ilvl="0">
      <w:lvlJc w:val="left"/>
      <w:lvlText w:val="(%1)"/>
      <w:numFmt w:val="lowerLetter"/>
      <w:start w:val="1"/>
    </w:lvl>
    <w:lvl w:ilvl="1">
      <w:lvlJc w:val="left"/>
      <w:lvlText w:val="(%2)"/>
      <w:numFmt w:val="lowerRoman"/>
      <w:start w:val="1"/>
    </w:lvl>
  </w:abstractNum>
  <w:abstractNum w:abstractNumId="90">
    <w:nsid w:val="49DA307D"/>
    <w:multiLevelType w:val="hybridMultilevel"/>
    <w:lvl w:ilvl="0">
      <w:lvlJc w:val="left"/>
      <w:lvlText w:val="(%1)"/>
      <w:numFmt w:val="lowerRoman"/>
      <w:start w:val="10"/>
    </w:lvl>
  </w:abstractNum>
  <w:abstractNum w:abstractNumId="91">
    <w:nsid w:val="7055A5F5"/>
    <w:multiLevelType w:val="hybridMultilevel"/>
    <w:lvl w:ilvl="0">
      <w:lvlJc w:val="left"/>
      <w:lvlText w:val="(%1)"/>
      <w:numFmt w:val="lowerLetter"/>
      <w:start w:val="1"/>
    </w:lvl>
    <w:lvl w:ilvl="1">
      <w:lvlJc w:val="left"/>
      <w:lvlText w:val="%2."/>
      <w:numFmt w:val="lowerRoman"/>
      <w:start w:val="1"/>
    </w:lvl>
  </w:abstractNum>
  <w:abstractNum w:abstractNumId="92">
    <w:nsid w:val="5FB8370B"/>
    <w:multiLevelType w:val="hybridMultilevel"/>
    <w:lvl w:ilvl="0">
      <w:lvlJc w:val="left"/>
      <w:lvlText w:val="(%1)"/>
      <w:numFmt w:val="lowerLetter"/>
      <w:start w:val="2"/>
    </w:lvl>
    <w:lvl w:ilvl="1">
      <w:lvlJc w:val="left"/>
      <w:lvlText w:val="%2."/>
      <w:numFmt w:val="lowerRoman"/>
      <w:start w:val="1"/>
    </w:lvl>
  </w:abstractNum>
  <w:abstractNum w:abstractNumId="93">
    <w:nsid w:val="50801EE1"/>
    <w:multiLevelType w:val="hybridMultilevel"/>
    <w:lvl w:ilvl="0">
      <w:lvlJc w:val="left"/>
      <w:lvlText w:val="(%1)"/>
      <w:numFmt w:val="lowerRoman"/>
      <w:start w:val="2"/>
    </w:lvl>
  </w:abstractNum>
  <w:abstractNum w:abstractNumId="94">
    <w:nsid w:val="488AC1A"/>
    <w:multiLevelType w:val="hybridMultilevel"/>
    <w:lvl w:ilvl="0">
      <w:lvlJc w:val="left"/>
      <w:lvlText w:val="(%1)"/>
      <w:numFmt w:val="lowerLetter"/>
      <w:start w:val="3"/>
    </w:lvl>
  </w:abstractNum>
  <w:abstractNum w:abstractNumId="95">
    <w:nsid w:val="5FB8011C"/>
    <w:multiLevelType w:val="hybridMultilevel"/>
    <w:lvl w:ilvl="0">
      <w:lvlJc w:val="left"/>
      <w:lvlText w:val="%1."/>
      <w:numFmt w:val="lowerRoman"/>
      <w:start w:val="1"/>
    </w:lvl>
  </w:abstractNum>
  <w:abstractNum w:abstractNumId="96">
    <w:nsid w:val="6AA78F7F"/>
    <w:multiLevelType w:val="hybridMultilevel"/>
    <w:lvl w:ilvl="0">
      <w:lvlJc w:val="left"/>
      <w:lvlText w:val="%1."/>
      <w:numFmt w:val="lowerRoman"/>
      <w:start w:val="2"/>
    </w:lvl>
  </w:abstractNum>
  <w:abstractNum w:abstractNumId="97">
    <w:nsid w:val="7672BD23"/>
    <w:multiLevelType w:val="hybridMultilevel"/>
    <w:lvl w:ilvl="0">
      <w:lvlJc w:val="left"/>
      <w:lvlText w:val="%1."/>
      <w:numFmt w:val="lowerRoman"/>
      <w:start w:val="3"/>
    </w:lvl>
  </w:abstractNum>
  <w:abstractNum w:abstractNumId="98">
    <w:nsid w:val="6FC75AF8"/>
    <w:multiLevelType w:val="hybridMultilevel"/>
    <w:lvl w:ilvl="0">
      <w:lvlJc w:val="left"/>
      <w:lvlText w:val="(%1)"/>
      <w:numFmt w:val="lowerLetter"/>
      <w:start w:val="4"/>
    </w:lvl>
    <w:lvl w:ilvl="1">
      <w:lvlJc w:val="left"/>
      <w:lvlText w:val="%2."/>
      <w:numFmt w:val="lowerRoman"/>
      <w:start w:val="1"/>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17" Type="http://schemas.openxmlformats.org/officeDocument/2006/relationships/hyperlink" Target="https://www.sec.gov/Archives/edgar/data/1158172/000119312525221284/d13858dex101.htm" TargetMode="External"/><Relationship Id="rId18" Type="http://schemas.openxmlformats.org/officeDocument/2006/relationships/hyperlink" Target="https://www.sec.gov/Archives/edgar/data/1158172/000119312525221284/d13858dex102.htm" TargetMode="External"/><Relationship Id="rId19" Type="http://schemas.openxmlformats.org/officeDocument/2006/relationships/hyperlink" Target="https://www.sec.gov/Archives/edgar/data/1158172/000119312525221284/d13858dex103.htm" TargetMode="External"/><Relationship Id="rId20" Type="http://schemas.openxmlformats.org/officeDocument/2006/relationships/hyperlink" Target="https://www.sec.gov/Archives/edgar/data/1158172/000119312525221284/d1385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2025-12-31T15:06:04Z</dcterms:created>
  <dcterms:modified xsi:type="dcterms:W3CDTF">2025-12-31T15:06:04Z</dcterms:modified>
</cp:coreProperties>
</file>