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368935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397510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August 20,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384175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comScore,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377825</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300" w:type="dxa"/>
            <w:vAlign w:val="bottom"/>
          </w:tcPr>
          <w:p>
            <w:pPr>
              <w:jc w:val="center"/>
              <w:ind w:left="762"/>
              <w:spacing w:after="0"/>
              <w:rPr>
                <w:sz w:val="20"/>
                <w:szCs w:val="20"/>
                <w:color w:val="auto"/>
              </w:rPr>
            </w:pPr>
            <w:r>
              <w:rPr>
                <w:rFonts w:ascii="Arial" w:cs="Arial" w:eastAsia="Arial" w:hAnsi="Arial"/>
                <w:sz w:val="18"/>
                <w:szCs w:val="18"/>
                <w:b w:val="1"/>
                <w:bCs w:val="1"/>
                <w:color w:val="auto"/>
                <w:w w:val="93"/>
              </w:rPr>
              <w:t>Delaware</w:t>
            </w:r>
          </w:p>
        </w:tc>
        <w:tc>
          <w:tcPr>
            <w:tcW w:w="5180" w:type="dxa"/>
            <w:vAlign w:val="bottom"/>
          </w:tcPr>
          <w:p>
            <w:pPr>
              <w:ind w:left="2260"/>
              <w:spacing w:after="0"/>
              <w:rPr>
                <w:sz w:val="20"/>
                <w:szCs w:val="20"/>
                <w:color w:val="auto"/>
              </w:rPr>
            </w:pPr>
            <w:r>
              <w:rPr>
                <w:rFonts w:ascii="Arial" w:cs="Arial" w:eastAsia="Arial" w:hAnsi="Arial"/>
                <w:sz w:val="18"/>
                <w:szCs w:val="18"/>
                <w:b w:val="1"/>
                <w:bCs w:val="1"/>
                <w:color w:val="auto"/>
              </w:rPr>
              <w:t>001-33520</w:t>
            </w:r>
          </w:p>
        </w:tc>
        <w:tc>
          <w:tcPr>
            <w:tcW w:w="2940" w:type="dxa"/>
            <w:vAlign w:val="bottom"/>
          </w:tcPr>
          <w:p>
            <w:pPr>
              <w:jc w:val="center"/>
              <w:ind w:right="282"/>
              <w:spacing w:after="0"/>
              <w:rPr>
                <w:sz w:val="20"/>
                <w:szCs w:val="20"/>
                <w:color w:val="auto"/>
              </w:rPr>
            </w:pPr>
            <w:r>
              <w:rPr>
                <w:rFonts w:ascii="Arial" w:cs="Arial" w:eastAsia="Arial" w:hAnsi="Arial"/>
                <w:sz w:val="18"/>
                <w:szCs w:val="18"/>
                <w:b w:val="1"/>
                <w:bCs w:val="1"/>
                <w:color w:val="auto"/>
                <w:w w:val="89"/>
              </w:rPr>
              <w:t>54-1955550</w:t>
            </w:r>
          </w:p>
        </w:tc>
      </w:tr>
      <w:tr>
        <w:trPr>
          <w:trHeight w:val="180"/>
        </w:trPr>
        <w:tc>
          <w:tcPr>
            <w:tcW w:w="3300" w:type="dxa"/>
            <w:vAlign w:val="bottom"/>
          </w:tcPr>
          <w:p>
            <w:pPr>
              <w:jc w:val="center"/>
              <w:ind w:left="762"/>
              <w:spacing w:after="0"/>
              <w:rPr>
                <w:sz w:val="20"/>
                <w:szCs w:val="20"/>
                <w:color w:val="auto"/>
              </w:rPr>
            </w:pPr>
            <w:r>
              <w:rPr>
                <w:rFonts w:ascii="Arial" w:cs="Arial" w:eastAsia="Arial" w:hAnsi="Arial"/>
                <w:sz w:val="14"/>
                <w:szCs w:val="14"/>
                <w:b w:val="1"/>
                <w:bCs w:val="1"/>
                <w:color w:val="auto"/>
                <w:w w:val="93"/>
              </w:rPr>
              <w:t>(State or Other Jurisdiction</w:t>
            </w:r>
          </w:p>
        </w:tc>
        <w:tc>
          <w:tcPr>
            <w:tcW w:w="5180" w:type="dxa"/>
            <w:vAlign w:val="bottom"/>
          </w:tcPr>
          <w:p>
            <w:pPr>
              <w:ind w:left="2260"/>
              <w:spacing w:after="0"/>
              <w:rPr>
                <w:sz w:val="20"/>
                <w:szCs w:val="20"/>
                <w:color w:val="auto"/>
              </w:rPr>
            </w:pPr>
            <w:r>
              <w:rPr>
                <w:rFonts w:ascii="Arial" w:cs="Arial" w:eastAsia="Arial" w:hAnsi="Arial"/>
                <w:sz w:val="14"/>
                <w:szCs w:val="14"/>
                <w:b w:val="1"/>
                <w:bCs w:val="1"/>
                <w:color w:val="auto"/>
              </w:rPr>
              <w:t>(Commission</w:t>
            </w:r>
          </w:p>
        </w:tc>
        <w:tc>
          <w:tcPr>
            <w:tcW w:w="2940" w:type="dxa"/>
            <w:vAlign w:val="bottom"/>
          </w:tcPr>
          <w:p>
            <w:pPr>
              <w:jc w:val="center"/>
              <w:ind w:right="282"/>
              <w:spacing w:after="0"/>
              <w:rPr>
                <w:sz w:val="20"/>
                <w:szCs w:val="20"/>
                <w:color w:val="auto"/>
              </w:rPr>
            </w:pPr>
            <w:r>
              <w:rPr>
                <w:rFonts w:ascii="Arial" w:cs="Arial" w:eastAsia="Arial" w:hAnsi="Arial"/>
                <w:sz w:val="14"/>
                <w:szCs w:val="14"/>
                <w:b w:val="1"/>
                <w:bCs w:val="1"/>
                <w:color w:val="auto"/>
                <w:w w:val="98"/>
              </w:rPr>
              <w:t>(IRS Employer</w:t>
            </w:r>
          </w:p>
        </w:tc>
      </w:tr>
      <w:tr>
        <w:trPr>
          <w:trHeight w:val="186"/>
        </w:trPr>
        <w:tc>
          <w:tcPr>
            <w:tcW w:w="3300" w:type="dxa"/>
            <w:vAlign w:val="bottom"/>
          </w:tcPr>
          <w:p>
            <w:pPr>
              <w:jc w:val="center"/>
              <w:ind w:left="762"/>
              <w:spacing w:after="0"/>
              <w:rPr>
                <w:sz w:val="20"/>
                <w:szCs w:val="20"/>
                <w:color w:val="auto"/>
              </w:rPr>
            </w:pPr>
            <w:r>
              <w:rPr>
                <w:rFonts w:ascii="Arial" w:cs="Arial" w:eastAsia="Arial" w:hAnsi="Arial"/>
                <w:sz w:val="14"/>
                <w:szCs w:val="14"/>
                <w:b w:val="1"/>
                <w:bCs w:val="1"/>
                <w:color w:val="auto"/>
                <w:w w:val="94"/>
              </w:rPr>
              <w:t>of Incorporation)</w:t>
            </w:r>
          </w:p>
        </w:tc>
        <w:tc>
          <w:tcPr>
            <w:tcW w:w="5180" w:type="dxa"/>
            <w:vAlign w:val="bottom"/>
          </w:tcPr>
          <w:p>
            <w:pPr>
              <w:ind w:left="2240"/>
              <w:spacing w:after="0"/>
              <w:rPr>
                <w:sz w:val="20"/>
                <w:szCs w:val="20"/>
                <w:color w:val="auto"/>
              </w:rPr>
            </w:pPr>
            <w:r>
              <w:rPr>
                <w:rFonts w:ascii="Arial" w:cs="Arial" w:eastAsia="Arial" w:hAnsi="Arial"/>
                <w:sz w:val="14"/>
                <w:szCs w:val="14"/>
                <w:b w:val="1"/>
                <w:bCs w:val="1"/>
                <w:color w:val="auto"/>
              </w:rPr>
              <w:t>File Number)</w:t>
            </w:r>
          </w:p>
        </w:tc>
        <w:tc>
          <w:tcPr>
            <w:tcW w:w="2940" w:type="dxa"/>
            <w:vAlign w:val="bottom"/>
          </w:tcPr>
          <w:p>
            <w:pPr>
              <w:jc w:val="center"/>
              <w:ind w:right="302"/>
              <w:spacing w:after="0"/>
              <w:rPr>
                <w:sz w:val="20"/>
                <w:szCs w:val="20"/>
                <w:color w:val="auto"/>
              </w:rPr>
            </w:pPr>
            <w:r>
              <w:rPr>
                <w:rFonts w:ascii="Arial" w:cs="Arial" w:eastAsia="Arial" w:hAnsi="Arial"/>
                <w:sz w:val="14"/>
                <w:szCs w:val="14"/>
                <w:b w:val="1"/>
                <w:bCs w:val="1"/>
                <w:color w:val="auto"/>
                <w:w w:val="94"/>
              </w:rPr>
              <w:t>Identification No.)</w:t>
            </w:r>
          </w:p>
        </w:tc>
      </w:tr>
      <w:tr>
        <w:trPr>
          <w:trHeight w:val="439"/>
        </w:trPr>
        <w:tc>
          <w:tcPr>
            <w:tcW w:w="3300" w:type="dxa"/>
            <w:vAlign w:val="bottom"/>
          </w:tcPr>
          <w:p>
            <w:pPr>
              <w:spacing w:after="0"/>
              <w:rPr>
                <w:sz w:val="24"/>
                <w:szCs w:val="24"/>
                <w:color w:val="auto"/>
              </w:rPr>
            </w:pPr>
          </w:p>
        </w:tc>
        <w:tc>
          <w:tcPr>
            <w:tcW w:w="5180" w:type="dxa"/>
            <w:vAlign w:val="bottom"/>
          </w:tcPr>
          <w:p>
            <w:pPr>
              <w:jc w:val="center"/>
              <w:ind w:right="281"/>
              <w:spacing w:after="0"/>
              <w:rPr>
                <w:sz w:val="20"/>
                <w:szCs w:val="20"/>
                <w:color w:val="auto"/>
              </w:rPr>
            </w:pPr>
            <w:r>
              <w:rPr>
                <w:rFonts w:ascii="Arial" w:cs="Arial" w:eastAsia="Arial" w:hAnsi="Arial"/>
                <w:sz w:val="18"/>
                <w:szCs w:val="18"/>
                <w:b w:val="1"/>
                <w:bCs w:val="1"/>
                <w:color w:val="auto"/>
                <w:w w:val="90"/>
              </w:rPr>
              <w:t>11950 Democracy Drive</w:t>
            </w:r>
          </w:p>
        </w:tc>
        <w:tc>
          <w:tcPr>
            <w:tcW w:w="2940" w:type="dxa"/>
            <w:vAlign w:val="bottom"/>
          </w:tcPr>
          <w:p>
            <w:pPr>
              <w:spacing w:after="0"/>
              <w:rPr>
                <w:sz w:val="24"/>
                <w:szCs w:val="24"/>
                <w:color w:val="auto"/>
              </w:rPr>
            </w:pPr>
          </w:p>
        </w:tc>
      </w:tr>
      <w:tr>
        <w:trPr>
          <w:trHeight w:val="216"/>
        </w:trPr>
        <w:tc>
          <w:tcPr>
            <w:tcW w:w="3300" w:type="dxa"/>
            <w:vAlign w:val="bottom"/>
          </w:tcPr>
          <w:p>
            <w:pPr>
              <w:spacing w:after="0"/>
              <w:rPr>
                <w:sz w:val="18"/>
                <w:szCs w:val="18"/>
                <w:color w:val="auto"/>
              </w:rPr>
            </w:pPr>
          </w:p>
        </w:tc>
        <w:tc>
          <w:tcPr>
            <w:tcW w:w="5180" w:type="dxa"/>
            <w:vAlign w:val="bottom"/>
          </w:tcPr>
          <w:p>
            <w:pPr>
              <w:jc w:val="center"/>
              <w:ind w:right="281"/>
              <w:spacing w:after="0"/>
              <w:rPr>
                <w:sz w:val="20"/>
                <w:szCs w:val="20"/>
                <w:color w:val="auto"/>
              </w:rPr>
            </w:pPr>
            <w:r>
              <w:rPr>
                <w:rFonts w:ascii="Arial" w:cs="Arial" w:eastAsia="Arial" w:hAnsi="Arial"/>
                <w:sz w:val="18"/>
                <w:szCs w:val="18"/>
                <w:b w:val="1"/>
                <w:bCs w:val="1"/>
                <w:color w:val="auto"/>
                <w:w w:val="88"/>
              </w:rPr>
              <w:t>Suite 600</w:t>
            </w:r>
          </w:p>
        </w:tc>
        <w:tc>
          <w:tcPr>
            <w:tcW w:w="2940" w:type="dxa"/>
            <w:vAlign w:val="bottom"/>
          </w:tcPr>
          <w:p>
            <w:pPr>
              <w:spacing w:after="0"/>
              <w:rPr>
                <w:sz w:val="18"/>
                <w:szCs w:val="18"/>
                <w:color w:val="auto"/>
              </w:rPr>
            </w:pPr>
          </w:p>
        </w:tc>
      </w:tr>
      <w:tr>
        <w:trPr>
          <w:trHeight w:val="212"/>
        </w:trPr>
        <w:tc>
          <w:tcPr>
            <w:tcW w:w="3300" w:type="dxa"/>
            <w:vAlign w:val="bottom"/>
          </w:tcPr>
          <w:p>
            <w:pPr>
              <w:spacing w:after="0"/>
              <w:rPr>
                <w:sz w:val="18"/>
                <w:szCs w:val="18"/>
                <w:color w:val="auto"/>
              </w:rPr>
            </w:pPr>
          </w:p>
        </w:tc>
        <w:tc>
          <w:tcPr>
            <w:tcW w:w="5180" w:type="dxa"/>
            <w:vAlign w:val="bottom"/>
          </w:tcPr>
          <w:p>
            <w:pPr>
              <w:jc w:val="center"/>
              <w:ind w:right="281"/>
              <w:spacing w:after="0"/>
              <w:rPr>
                <w:sz w:val="20"/>
                <w:szCs w:val="20"/>
                <w:color w:val="auto"/>
              </w:rPr>
            </w:pPr>
            <w:r>
              <w:rPr>
                <w:rFonts w:ascii="Arial" w:cs="Arial" w:eastAsia="Arial" w:hAnsi="Arial"/>
                <w:sz w:val="18"/>
                <w:szCs w:val="18"/>
                <w:b w:val="1"/>
                <w:bCs w:val="1"/>
                <w:color w:val="auto"/>
                <w:w w:val="90"/>
              </w:rPr>
              <w:t>Reston, Virginia 20190</w:t>
            </w:r>
          </w:p>
        </w:tc>
        <w:tc>
          <w:tcPr>
            <w:tcW w:w="2940" w:type="dxa"/>
            <w:vAlign w:val="bottom"/>
          </w:tcPr>
          <w:p>
            <w:pPr>
              <w:spacing w:after="0"/>
              <w:rPr>
                <w:sz w:val="18"/>
                <w:szCs w:val="18"/>
                <w:color w:val="auto"/>
              </w:rPr>
            </w:pPr>
          </w:p>
        </w:tc>
      </w:tr>
      <w:tr>
        <w:trPr>
          <w:trHeight w:val="162"/>
        </w:trPr>
        <w:tc>
          <w:tcPr>
            <w:tcW w:w="3300" w:type="dxa"/>
            <w:vAlign w:val="bottom"/>
          </w:tcPr>
          <w:p>
            <w:pPr>
              <w:spacing w:after="0"/>
              <w:rPr>
                <w:sz w:val="14"/>
                <w:szCs w:val="14"/>
                <w:color w:val="auto"/>
              </w:rPr>
            </w:pPr>
          </w:p>
        </w:tc>
        <w:tc>
          <w:tcPr>
            <w:tcW w:w="5180" w:type="dxa"/>
            <w:vAlign w:val="bottom"/>
          </w:tcPr>
          <w:p>
            <w:pPr>
              <w:jc w:val="center"/>
              <w:ind w:right="281"/>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940" w:type="dxa"/>
            <w:vAlign w:val="bottom"/>
          </w:tcPr>
          <w:p>
            <w:pPr>
              <w:spacing w:after="0"/>
              <w:rPr>
                <w:sz w:val="14"/>
                <w:szCs w:val="14"/>
                <w:color w:val="auto"/>
              </w:rPr>
            </w:pPr>
          </w:p>
        </w:tc>
      </w:tr>
      <w:tr>
        <w:trPr>
          <w:trHeight w:val="186"/>
        </w:trPr>
        <w:tc>
          <w:tcPr>
            <w:tcW w:w="3300" w:type="dxa"/>
            <w:vAlign w:val="bottom"/>
          </w:tcPr>
          <w:p>
            <w:pPr>
              <w:spacing w:after="0"/>
              <w:rPr>
                <w:sz w:val="16"/>
                <w:szCs w:val="16"/>
                <w:color w:val="auto"/>
              </w:rPr>
            </w:pPr>
          </w:p>
        </w:tc>
        <w:tc>
          <w:tcPr>
            <w:tcW w:w="5180" w:type="dxa"/>
            <w:vAlign w:val="bottom"/>
          </w:tcPr>
          <w:p>
            <w:pPr>
              <w:jc w:val="center"/>
              <w:ind w:right="281"/>
              <w:spacing w:after="0"/>
              <w:rPr>
                <w:sz w:val="20"/>
                <w:szCs w:val="20"/>
                <w:color w:val="auto"/>
              </w:rPr>
            </w:pPr>
            <w:r>
              <w:rPr>
                <w:rFonts w:ascii="Arial" w:cs="Arial" w:eastAsia="Arial" w:hAnsi="Arial"/>
                <w:sz w:val="14"/>
                <w:szCs w:val="14"/>
                <w:b w:val="1"/>
                <w:bCs w:val="1"/>
                <w:color w:val="auto"/>
                <w:w w:val="95"/>
              </w:rPr>
              <w:t>(Zip Code)</w:t>
            </w:r>
          </w:p>
        </w:tc>
        <w:tc>
          <w:tcPr>
            <w:tcW w:w="2940" w:type="dxa"/>
            <w:vAlign w:val="bottom"/>
          </w:tcPr>
          <w:p>
            <w:pPr>
              <w:spacing w:after="0"/>
              <w:rPr>
                <w:sz w:val="16"/>
                <w:szCs w:val="16"/>
                <w:color w:val="auto"/>
              </w:rPr>
            </w:pPr>
          </w:p>
        </w:tc>
      </w:tr>
      <w:tr>
        <w:trPr>
          <w:trHeight w:val="408"/>
        </w:trPr>
        <w:tc>
          <w:tcPr>
            <w:tcW w:w="3300" w:type="dxa"/>
            <w:vAlign w:val="bottom"/>
          </w:tcPr>
          <w:p>
            <w:pPr>
              <w:spacing w:after="0"/>
              <w:rPr>
                <w:sz w:val="24"/>
                <w:szCs w:val="24"/>
                <w:color w:val="auto"/>
              </w:rPr>
            </w:pPr>
          </w:p>
        </w:tc>
        <w:tc>
          <w:tcPr>
            <w:tcW w:w="5180" w:type="dxa"/>
            <w:vAlign w:val="bottom"/>
          </w:tcPr>
          <w:p>
            <w:pPr>
              <w:jc w:val="center"/>
              <w:ind w:right="261"/>
              <w:spacing w:after="0"/>
              <w:rPr>
                <w:sz w:val="20"/>
                <w:szCs w:val="20"/>
                <w:color w:val="auto"/>
              </w:rPr>
            </w:pPr>
            <w:r>
              <w:rPr>
                <w:rFonts w:ascii="Arial" w:cs="Arial" w:eastAsia="Arial" w:hAnsi="Arial"/>
                <w:sz w:val="18"/>
                <w:szCs w:val="18"/>
                <w:b w:val="1"/>
                <w:bCs w:val="1"/>
                <w:color w:val="auto"/>
                <w:w w:val="91"/>
              </w:rPr>
              <w:t>(703) 438–2000</w:t>
            </w:r>
          </w:p>
        </w:tc>
        <w:tc>
          <w:tcPr>
            <w:tcW w:w="2940" w:type="dxa"/>
            <w:vAlign w:val="bottom"/>
          </w:tcPr>
          <w:p>
            <w:pPr>
              <w:spacing w:after="0"/>
              <w:rPr>
                <w:sz w:val="24"/>
                <w:szCs w:val="24"/>
                <w:color w:val="auto"/>
              </w:rPr>
            </w:pPr>
          </w:p>
        </w:tc>
      </w:tr>
      <w:tr>
        <w:trPr>
          <w:trHeight w:val="186"/>
        </w:trPr>
        <w:tc>
          <w:tcPr>
            <w:tcW w:w="3300" w:type="dxa"/>
            <w:vAlign w:val="bottom"/>
          </w:tcPr>
          <w:p>
            <w:pPr>
              <w:spacing w:after="0"/>
              <w:rPr>
                <w:sz w:val="16"/>
                <w:szCs w:val="16"/>
                <w:color w:val="auto"/>
              </w:rPr>
            </w:pPr>
          </w:p>
        </w:tc>
        <w:tc>
          <w:tcPr>
            <w:tcW w:w="5180" w:type="dxa"/>
            <w:vAlign w:val="bottom"/>
          </w:tcPr>
          <w:p>
            <w:pPr>
              <w:jc w:val="center"/>
              <w:ind w:right="261"/>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2940" w:type="dxa"/>
            <w:vAlign w:val="bottom"/>
          </w:tcPr>
          <w:p>
            <w:pPr>
              <w:spacing w:after="0"/>
              <w:rPr>
                <w:sz w:val="16"/>
                <w:szCs w:val="16"/>
                <w:color w:val="auto"/>
              </w:rPr>
            </w:pPr>
          </w:p>
        </w:tc>
      </w:tr>
      <w:tr>
        <w:trPr>
          <w:trHeight w:val="354"/>
        </w:trPr>
        <w:tc>
          <w:tcPr>
            <w:tcW w:w="3300" w:type="dxa"/>
            <w:vAlign w:val="bottom"/>
          </w:tcPr>
          <w:p>
            <w:pPr>
              <w:spacing w:after="0"/>
              <w:rPr>
                <w:sz w:val="24"/>
                <w:szCs w:val="24"/>
                <w:color w:val="auto"/>
              </w:rPr>
            </w:pPr>
          </w:p>
        </w:tc>
        <w:tc>
          <w:tcPr>
            <w:tcW w:w="5180" w:type="dxa"/>
            <w:vAlign w:val="bottom"/>
          </w:tcPr>
          <w:p>
            <w:pPr>
              <w:jc w:val="center"/>
              <w:ind w:right="261"/>
              <w:spacing w:after="0"/>
              <w:rPr>
                <w:sz w:val="20"/>
                <w:szCs w:val="20"/>
                <w:color w:val="auto"/>
              </w:rPr>
            </w:pPr>
            <w:r>
              <w:rPr>
                <w:rFonts w:ascii="Arial" w:cs="Arial" w:eastAsia="Arial" w:hAnsi="Arial"/>
                <w:sz w:val="14"/>
                <w:szCs w:val="14"/>
                <w:b w:val="1"/>
                <w:bCs w:val="1"/>
                <w:color w:val="auto"/>
                <w:w w:val="99"/>
              </w:rPr>
              <w:t>N/A</w:t>
            </w:r>
          </w:p>
        </w:tc>
        <w:tc>
          <w:tcPr>
            <w:tcW w:w="2940" w:type="dxa"/>
            <w:vAlign w:val="bottom"/>
          </w:tcPr>
          <w:p>
            <w:pPr>
              <w:spacing w:after="0"/>
              <w:rPr>
                <w:sz w:val="24"/>
                <w:szCs w:val="24"/>
                <w:color w:val="auto"/>
              </w:rPr>
            </w:pPr>
          </w:p>
        </w:tc>
      </w:tr>
      <w:tr>
        <w:trPr>
          <w:trHeight w:val="186"/>
        </w:trPr>
        <w:tc>
          <w:tcPr>
            <w:tcW w:w="3300" w:type="dxa"/>
            <w:vAlign w:val="bottom"/>
          </w:tcPr>
          <w:p>
            <w:pPr>
              <w:spacing w:after="0"/>
              <w:rPr>
                <w:sz w:val="16"/>
                <w:szCs w:val="16"/>
                <w:color w:val="auto"/>
              </w:rPr>
            </w:pPr>
          </w:p>
        </w:tc>
        <w:tc>
          <w:tcPr>
            <w:tcW w:w="5180" w:type="dxa"/>
            <w:vAlign w:val="bottom"/>
          </w:tcPr>
          <w:p>
            <w:pPr>
              <w:jc w:val="center"/>
              <w:ind w:right="281"/>
              <w:spacing w:after="0"/>
              <w:rPr>
                <w:sz w:val="20"/>
                <w:szCs w:val="20"/>
                <w:color w:val="auto"/>
              </w:rPr>
            </w:pPr>
            <w:r>
              <w:rPr>
                <w:rFonts w:ascii="Arial" w:cs="Arial" w:eastAsia="Arial" w:hAnsi="Arial"/>
                <w:sz w:val="14"/>
                <w:szCs w:val="14"/>
                <w:b w:val="1"/>
                <w:bCs w:val="1"/>
                <w:color w:val="auto"/>
                <w:w w:val="93"/>
              </w:rPr>
              <w:t>(Former Name or Former Address, if Changed Since Last Report)</w:t>
            </w:r>
          </w:p>
        </w:tc>
        <w:tc>
          <w:tcPr>
            <w:tcW w:w="2940" w:type="dxa"/>
            <w:vAlign w:val="bottom"/>
          </w:tcPr>
          <w:p>
            <w:pPr>
              <w:spacing w:after="0"/>
              <w:rPr>
                <w:sz w:val="16"/>
                <w:szCs w:val="16"/>
                <w:color w:val="auto"/>
              </w:rPr>
            </w:pPr>
          </w:p>
        </w:tc>
      </w:tr>
      <w:tr>
        <w:trPr>
          <w:trHeight w:val="114"/>
        </w:trPr>
        <w:tc>
          <w:tcPr>
            <w:tcW w:w="3300" w:type="dxa"/>
            <w:vAlign w:val="bottom"/>
            <w:tcBorders>
              <w:bottom w:val="single" w:sz="8" w:color="9A9A9A"/>
            </w:tcBorders>
          </w:tcPr>
          <w:p>
            <w:pPr>
              <w:spacing w:after="0"/>
              <w:rPr>
                <w:sz w:val="9"/>
                <w:szCs w:val="9"/>
                <w:color w:val="auto"/>
              </w:rPr>
            </w:pPr>
          </w:p>
        </w:tc>
        <w:tc>
          <w:tcPr>
            <w:tcW w:w="5180" w:type="dxa"/>
            <w:vAlign w:val="bottom"/>
            <w:tcBorders>
              <w:bottom w:val="single" w:sz="8" w:color="9A9A9A"/>
            </w:tcBorders>
          </w:tcPr>
          <w:p>
            <w:pPr>
              <w:spacing w:after="0"/>
              <w:rPr>
                <w:sz w:val="9"/>
                <w:szCs w:val="9"/>
                <w:color w:val="auto"/>
              </w:rPr>
            </w:pPr>
          </w:p>
        </w:tc>
        <w:tc>
          <w:tcPr>
            <w:tcW w:w="2940" w:type="dxa"/>
            <w:vAlign w:val="bottom"/>
            <w:tcBorders>
              <w:bottom w:val="single" w:sz="8" w:color="9A9A9A"/>
            </w:tcBorders>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90"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747" w:right="239" w:bottom="1440" w:gutter="0" w:footer="0" w:header="0"/>
        </w:sectPr>
      </w:pPr>
    </w:p>
    <w:bookmarkStart w:id="1" w:name="page2"/>
    <w:bookmarkEnd w:id="1"/>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19"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19"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19"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16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Title of Each Class</w:t>
            </w:r>
          </w:p>
        </w:tc>
        <w:tc>
          <w:tcPr>
            <w:tcW w:w="2740" w:type="dxa"/>
            <w:vAlign w:val="bottom"/>
            <w:gridSpan w:val="2"/>
          </w:tcPr>
          <w:p>
            <w:pPr>
              <w:jc w:val="center"/>
              <w:ind w:right="240"/>
              <w:spacing w:after="0"/>
              <w:rPr>
                <w:sz w:val="20"/>
                <w:szCs w:val="20"/>
                <w:color w:val="auto"/>
              </w:rPr>
            </w:pPr>
            <w:r>
              <w:rPr>
                <w:rFonts w:ascii="Arial" w:cs="Arial" w:eastAsia="Arial" w:hAnsi="Arial"/>
                <w:sz w:val="14"/>
                <w:szCs w:val="14"/>
                <w:color w:val="auto"/>
                <w:w w:val="95"/>
              </w:rPr>
              <w:t>Trading Symbol</w:t>
            </w:r>
          </w:p>
        </w:tc>
        <w:tc>
          <w:tcPr>
            <w:tcW w:w="3520" w:type="dxa"/>
            <w:vAlign w:val="bottom"/>
          </w:tcPr>
          <w:p>
            <w:pPr>
              <w:jc w:val="center"/>
              <w:spacing w:after="0"/>
              <w:rPr>
                <w:sz w:val="20"/>
                <w:szCs w:val="20"/>
                <w:color w:val="auto"/>
              </w:rPr>
            </w:pPr>
            <w:r>
              <w:rPr>
                <w:rFonts w:ascii="Arial" w:cs="Arial" w:eastAsia="Arial" w:hAnsi="Arial"/>
                <w:sz w:val="14"/>
                <w:szCs w:val="14"/>
                <w:color w:val="auto"/>
                <w:w w:val="92"/>
              </w:rPr>
              <w:t>Name of Each Exchange on Which Registered</w:t>
            </w:r>
          </w:p>
        </w:tc>
      </w:tr>
      <w:tr>
        <w:trPr>
          <w:trHeight w:val="53"/>
        </w:trPr>
        <w:tc>
          <w:tcPr>
            <w:tcW w:w="492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3520" w:type="dxa"/>
            <w:vAlign w:val="bottom"/>
            <w:tcBorders>
              <w:bottom w:val="single" w:sz="8" w:color="auto"/>
            </w:tcBorders>
          </w:tcPr>
          <w:p>
            <w:pPr>
              <w:spacing w:after="0"/>
              <w:rPr>
                <w:sz w:val="4"/>
                <w:szCs w:val="4"/>
                <w:color w:val="auto"/>
              </w:rPr>
            </w:pPr>
          </w:p>
        </w:tc>
      </w:tr>
      <w:tr>
        <w:trPr>
          <w:trHeight w:val="217"/>
        </w:trPr>
        <w:tc>
          <w:tcPr>
            <w:tcW w:w="516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Common Stock, par value $0.001 per share</w:t>
            </w:r>
          </w:p>
        </w:tc>
        <w:tc>
          <w:tcPr>
            <w:tcW w:w="2740" w:type="dxa"/>
            <w:vAlign w:val="bottom"/>
            <w:gridSpan w:val="2"/>
          </w:tcPr>
          <w:p>
            <w:pPr>
              <w:jc w:val="center"/>
              <w:ind w:right="240"/>
              <w:spacing w:after="0"/>
              <w:rPr>
                <w:sz w:val="20"/>
                <w:szCs w:val="20"/>
                <w:color w:val="auto"/>
              </w:rPr>
            </w:pPr>
            <w:r>
              <w:rPr>
                <w:rFonts w:ascii="Arial" w:cs="Arial" w:eastAsia="Arial" w:hAnsi="Arial"/>
                <w:sz w:val="16"/>
                <w:szCs w:val="16"/>
                <w:color w:val="auto"/>
                <w:w w:val="90"/>
              </w:rPr>
              <w:t>SCOR</w:t>
            </w:r>
          </w:p>
        </w:tc>
        <w:tc>
          <w:tcPr>
            <w:tcW w:w="3520" w:type="dxa"/>
            <w:vAlign w:val="bottom"/>
          </w:tcPr>
          <w:p>
            <w:pPr>
              <w:jc w:val="center"/>
              <w:spacing w:after="0"/>
              <w:rPr>
                <w:sz w:val="20"/>
                <w:szCs w:val="20"/>
                <w:color w:val="auto"/>
              </w:rPr>
            </w:pPr>
            <w:r>
              <w:rPr>
                <w:rFonts w:ascii="Arial" w:cs="Arial" w:eastAsia="Arial" w:hAnsi="Arial"/>
                <w:sz w:val="16"/>
                <w:szCs w:val="16"/>
                <w:color w:val="auto"/>
                <w:w w:val="95"/>
              </w:rPr>
              <w:t>NASDAQ Global Select Market</w:t>
            </w:r>
          </w:p>
        </w:tc>
      </w:tr>
    </w:tbl>
    <w:p>
      <w:pPr>
        <w:spacing w:after="0" w:line="221"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9"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0"/>
          <w:szCs w:val="20"/>
          <w:color w:val="auto"/>
        </w:rPr>
      </w:pPr>
    </w:p>
    <w:p>
      <w:pPr>
        <w:ind w:right="140"/>
        <w:spacing w:after="0" w:line="21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301625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3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8.01 Other Events.</w:t>
      </w:r>
    </w:p>
    <w:p>
      <w:pPr>
        <w:spacing w:after="0" w:line="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August 20, 2019, comScore, Inc. (the "Company") announced that it is implementing a reduction in force plan that is expected to result in the termination of approximately 8% of the Company’s workforce. The reduction in force is being implemented following a determination to reorganize the Company's technology, product and sales organizations to optimize its focus on core areas of growth. The majority of the employees impacted by the reduction in force will exit the Company in the third quarter of 2019.</w:t>
      </w:r>
    </w:p>
    <w:p>
      <w:pPr>
        <w:spacing w:after="0" w:line="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this reduction in force, the Company will incur certain exit-related costs, which are expected to range between $1.5 million and $2.5 million, consisting primarily of one-time termination benefits and associated costs, to be settled in cash. Together with recent attrition, the reduction in force is expected to decrease the Company's annualized operating costs by more than $20.0 million, a portion of which will be realized beginning in the third quarter of 2019.</w:t>
      </w:r>
    </w:p>
    <w:p>
      <w:pPr>
        <w:spacing w:after="0" w:line="5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This Current Report on Form 8-K contains "forward-looking statements" within the meaning of Section 27A of the Securities Act of 1933 and Section 21E of the Securities Exchange Act of 1934. These statements involve risks and uncertainties that could cause actual results to differ materially from expectations, and may relate to, among other things, statements regarding the Company's current expectations and beliefs as to the timing and scope of the reduction in force plan and the amount and timing of the related costs and cost savings. These forward-looking statements speak only as of the date they are made, and the Company does not undertake any obligation to revise or update such statements to reflect future events or circumstances.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958" w:right="239" w:bottom="1440" w:gutter="0" w:footer="0" w:header="0"/>
        </w:sectPr>
      </w:pPr>
    </w:p>
    <w:bookmarkStart w:id="3" w:name="page4"/>
    <w:bookmarkEnd w:id="3"/>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700"/>
        <w:spacing w:after="0"/>
        <w:rPr>
          <w:sz w:val="20"/>
          <w:szCs w:val="20"/>
          <w:color w:val="auto"/>
        </w:rPr>
      </w:pPr>
      <w:r>
        <w:rPr>
          <w:rFonts w:ascii="Arial" w:cs="Arial" w:eastAsia="Arial" w:hAnsi="Arial"/>
          <w:sz w:val="18"/>
          <w:szCs w:val="18"/>
          <w:b w:val="1"/>
          <w:bCs w:val="1"/>
          <w:color w:val="auto"/>
        </w:rPr>
        <w:t>COMSCORE, INC.</w:t>
      </w:r>
    </w:p>
    <w:p>
      <w:pPr>
        <w:spacing w:after="0" w:line="337" w:lineRule="exact"/>
        <w:rPr>
          <w:sz w:val="20"/>
          <w:szCs w:val="20"/>
          <w:color w:val="auto"/>
        </w:rPr>
      </w:pPr>
    </w:p>
    <w:p>
      <w:pPr>
        <w:ind w:left="670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Carol A. DiBattiste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31750</wp:posOffset>
            </wp:positionV>
            <wp:extent cx="26244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57"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Carol A. DiBattiste</w:t>
      </w:r>
    </w:p>
    <w:p>
      <w:pPr>
        <w:spacing w:after="0" w:line="63" w:lineRule="exact"/>
        <w:rPr>
          <w:sz w:val="20"/>
          <w:szCs w:val="20"/>
          <w:color w:val="auto"/>
        </w:rPr>
      </w:pPr>
    </w:p>
    <w:p>
      <w:pPr>
        <w:ind w:left="7320"/>
        <w:spacing w:after="0"/>
        <w:rPr>
          <w:sz w:val="20"/>
          <w:szCs w:val="20"/>
          <w:color w:val="auto"/>
        </w:rPr>
      </w:pPr>
      <w:r>
        <w:rPr>
          <w:rFonts w:ascii="Arial" w:cs="Arial" w:eastAsia="Arial" w:hAnsi="Arial"/>
          <w:sz w:val="17"/>
          <w:szCs w:val="17"/>
          <w:color w:val="auto"/>
        </w:rPr>
        <w:t>General Counsel &amp; Chief Compliance, Privacy and</w:t>
      </w:r>
    </w:p>
    <w:p>
      <w:pPr>
        <w:spacing w:after="0" w:line="35"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People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Dated: August 20, 2019</w:t>
      </w:r>
    </w:p>
    <w:p>
      <w:pPr>
        <w:spacing w:after="0" w:line="2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sectPr>
      <w:pgSz w:w="11900" w:h="16838" w:orient="portrait"/>
      <w:cols w:equalWidth="0" w:num="1">
        <w:col w:w="11220"/>
      </w:cols>
      <w:pgMar w:left="240" w:top="58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2019-12-20T16:29:08Z</dcterms:created>
  <dcterms:modified xsi:type="dcterms:W3CDTF">2019-12-20T16:29:08Z</dcterms:modified>
</cp:coreProperties>
</file>