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12,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 xml:space="preserve">COMSCORE, INC. </w:t>
      </w:r>
    </w:p>
    <w:p>
      <w:pPr>
        <w:pStyle w:val="TextBody"/>
        <w:bidi w:val="0"/>
        <w:spacing w:lineRule="auto" w:line="288" w:before="0" w:after="0"/>
        <w:jc w:val="center"/>
        <w:rPr/>
      </w:pPr>
      <w:r>
        <w:rPr>
          <w:rFonts w:ascii="Times New Roman;serif" w:hAnsi="Times New Roman;serif"/>
          <w:b/>
          <w:color w:val="000000"/>
          <w:sz w:val="20"/>
        </w:rPr>
        <w:t>(Exact name of registrant as specified in charter)</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001-33520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54-1955550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 xml:space="preserve">11950 Democracy Drive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Suite 600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Reston, Virginia 20190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(703) 438–2000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52" w:type="dxa"/>
        <w:jc w:val="center"/>
        <w:tblInd w:w="0" w:type="dxa"/>
        <w:tblLayout w:type="fixed"/>
        <w:tblCellMar>
          <w:top w:w="28" w:type="dxa"/>
          <w:left w:w="28" w:type="dxa"/>
          <w:bottom w:w="28" w:type="dxa"/>
          <w:right w:w="28" w:type="dxa"/>
        </w:tblCellMar>
      </w:tblPr>
      <w:tblGrid>
        <w:gridCol w:w="1151"/>
        <w:gridCol w:w="1015"/>
        <w:gridCol w:w="1029"/>
        <w:gridCol w:w="109"/>
        <w:gridCol w:w="109"/>
        <w:gridCol w:w="109"/>
        <w:gridCol w:w="414"/>
        <w:gridCol w:w="414"/>
        <w:gridCol w:w="416"/>
        <w:gridCol w:w="109"/>
        <w:gridCol w:w="109"/>
        <w:gridCol w:w="109"/>
        <w:gridCol w:w="983"/>
        <w:gridCol w:w="983"/>
        <w:gridCol w:w="1393"/>
      </w:tblGrid>
      <w:tr>
        <w:trPr/>
        <w:tc>
          <w:tcPr>
            <w:tcW w:w="115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SCOR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240" w:after="283"/>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40"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0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On August 12, 2026, comScore, Inc. issued a press release announcing its financial results for the period ended June 30, 2026. A copy of the press release announcing the foregoing is furnished as Exhibit 99.1 hereto and is incorporated herein by reference.</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attached hereto, is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pStyle w:val="TextBody"/>
        <w:bidi w:val="0"/>
        <w:spacing w:lineRule="auto" w:line="288" w:before="240" w:after="10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 Exhibits.</w:t>
      </w:r>
    </w:p>
    <w:tbl>
      <w:tblPr>
        <w:tblW w:w="10205" w:type="dxa"/>
        <w:jc w:val="center"/>
        <w:tblInd w:w="0" w:type="dxa"/>
        <w:tblLayout w:type="fixed"/>
        <w:tblCellMar>
          <w:top w:w="28" w:type="dxa"/>
          <w:left w:w="28" w:type="dxa"/>
          <w:bottom w:w="28" w:type="dxa"/>
          <w:right w:w="28" w:type="dxa"/>
        </w:tblCellMar>
      </w:tblPr>
      <w:tblGrid>
        <w:gridCol w:w="342"/>
        <w:gridCol w:w="301"/>
        <w:gridCol w:w="303"/>
        <w:gridCol w:w="109"/>
        <w:gridCol w:w="109"/>
        <w:gridCol w:w="109"/>
        <w:gridCol w:w="2656"/>
        <w:gridCol w:w="2588"/>
        <w:gridCol w:w="368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368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1-pressrelease202.htm">
              <w:r>
                <w:rPr>
                  <w:rStyle w:val="InternetLink"/>
                  <w:rFonts w:ascii="Times New Roman;serif" w:hAnsi="Times New Roman;serif"/>
                  <w:b w:val="false"/>
                  <w:color w:val="000080"/>
                  <w:sz w:val="20"/>
                  <w:u w:val="single"/>
                </w:rPr>
                <w:t>Press Release dated August 1</w:t>
              </w:r>
            </w:hyperlink>
            <w:hyperlink w:anchor="exhibit991-pressrelease202.htm">
              <w:r>
                <w:rPr>
                  <w:rStyle w:val="InternetLink"/>
                  <w:rFonts w:ascii="Times New Roman;serif" w:hAnsi="Times New Roman;serif"/>
                  <w:b w:val="false"/>
                  <w:color w:val="000080"/>
                  <w:sz w:val="20"/>
                  <w:u w:val="single"/>
                </w:rPr>
                <w:t>2</w:t>
              </w:r>
            </w:hyperlink>
            <w:hyperlink w:anchor="exhibit991-pressrelease202.htm">
              <w:r>
                <w:rPr>
                  <w:rStyle w:val="InternetLink"/>
                  <w:rFonts w:ascii="Times New Roman;serif" w:hAnsi="Times New Roman;serif"/>
                  <w:b w:val="false"/>
                  <w:color w:val="000080"/>
                  <w:sz w:val="20"/>
                  <w:u w:val="single"/>
                </w:rPr>
                <w:t>, 2026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pPr>
      <w:r>
        <w:rPr/>
      </w:r>
    </w:p>
    <w:tbl>
      <w:tblPr>
        <w:tblW w:w="4052" w:type="dxa"/>
        <w:jc w:val="right"/>
        <w:tblInd w:w="0" w:type="dxa"/>
        <w:tblLayout w:type="fixed"/>
        <w:tblCellMar>
          <w:top w:w="28" w:type="dxa"/>
          <w:left w:w="28" w:type="dxa"/>
          <w:bottom w:w="28" w:type="dxa"/>
          <w:right w:w="28" w:type="dxa"/>
        </w:tblCellMar>
      </w:tblPr>
      <w:tblGrid>
        <w:gridCol w:w="167"/>
        <w:gridCol w:w="147"/>
        <w:gridCol w:w="147"/>
        <w:gridCol w:w="147"/>
        <w:gridCol w:w="147"/>
        <w:gridCol w:w="147"/>
        <w:gridCol w:w="921"/>
        <w:gridCol w:w="921"/>
        <w:gridCol w:w="1308"/>
      </w:tblGrid>
      <w:tr>
        <w:trPr/>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comScore, Inc.</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Mary Margaret Curry</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Margaret Curry</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Date: August 12,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drawing>
          <wp:inline distT="0" distB="0" distL="0" distR="0">
            <wp:extent cx="2286000" cy="4476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86000" cy="447675"/>
                    </a:xfrm>
                    <a:prstGeom prst="rect">
                      <a:avLst/>
                    </a:prstGeom>
                  </pic:spPr>
                </pic:pic>
              </a:graphicData>
            </a:graphic>
          </wp:inline>
        </w:drawing>
      </w:r>
    </w:p>
    <w:p>
      <w:pPr>
        <w:pStyle w:val="TextBody"/>
        <w:bidi w:val="0"/>
        <w:spacing w:lineRule="auto" w:line="331" w:before="0" w:after="0"/>
        <w:jc w:val="right"/>
        <w:rPr>
          <w:rFonts w:ascii="Times New Roman;serif" w:hAnsi="Times New Roman;serif"/>
          <w:b/>
          <w:color w:val="000000"/>
          <w:sz w:val="22"/>
        </w:rPr>
      </w:pPr>
      <w:r>
        <w:rPr>
          <w:rFonts w:ascii="Times New Roman;serif" w:hAnsi="Times New Roman;serif"/>
          <w:b/>
          <w:color w:val="000000"/>
          <w:sz w:val="22"/>
        </w:rPr>
        <w:t>FOR IMMEDIATE RELEASE</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Comscore Reports Second Quarter 2026 Results</w:t>
      </w:r>
    </w:p>
    <w:p>
      <w:pPr>
        <w:pStyle w:val="TextBody"/>
        <w:bidi w:val="0"/>
        <w:spacing w:lineRule="auto" w:line="288" w:before="120" w:after="283"/>
        <w:jc w:val="center"/>
        <w:rPr>
          <w:rFonts w:ascii="Times New Roman;serif" w:hAnsi="Times New Roman;serif"/>
          <w:b w:val="false"/>
          <w:i/>
          <w:color w:val="000000"/>
          <w:sz w:val="24"/>
        </w:rPr>
      </w:pPr>
      <w:r>
        <w:rPr>
          <w:rFonts w:ascii="Times New Roman;serif" w:hAnsi="Times New Roman;serif"/>
          <w:b w:val="false"/>
          <w:i/>
          <w:color w:val="000000"/>
          <w:sz w:val="24"/>
        </w:rPr>
        <w:t>Completed Sale of Movies Business Enabling Full Repayment of Senior Debt</w:t>
      </w:r>
    </w:p>
    <w:p>
      <w:pPr>
        <w:pStyle w:val="TextBody"/>
        <w:bidi w:val="0"/>
        <w:spacing w:lineRule="auto" w:line="288" w:before="120" w:after="283"/>
        <w:jc w:val="center"/>
        <w:rPr>
          <w:rFonts w:ascii="Times New Roman;serif" w:hAnsi="Times New Roman;serif"/>
          <w:b w:val="false"/>
          <w:i/>
          <w:color w:val="000000"/>
          <w:sz w:val="24"/>
        </w:rPr>
      </w:pPr>
      <w:r>
        <w:rPr>
          <w:rFonts w:ascii="Times New Roman;serif" w:hAnsi="Times New Roman;serif"/>
          <w:b w:val="false"/>
          <w:i/>
          <w:color w:val="000000"/>
          <w:sz w:val="24"/>
        </w:rPr>
        <w:t>Announced Transformational ROI Strategy to Realign, Optimize and Grow the Business</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RESTON, Va., August 12, 2026 – Comscore, Inc. (Nasdaq: SCOR), a trusted partner for planning, transacting and evaluating media across platforms, today reported financial results for the quarter ended June 30, 2026.</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second quarter was hallmarked by the completion of several critical actions necessary to further stabilize our core business and improve our balance sheet, including the sale of the legacy Movies business, as well as the elimination of $40 million in long-term debt," said Matt McLaughlin, CEO of Comscore. "However, our top- and bottom-line results for the quarter were not acceptable, reinforcing the urgency with which we are taking action to realign our priorities."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Mr. McLaughlin continued, "In my first 60 days as CEO, we moved expeditiously to build upon the strengthened balance sheet and reimagine how we operate. Yesterday, we launched a transformational ROI-based operating model designed to realign our business and corporate culture, optimize our operations and product development, and focus our future investment to drive long-term sustainable growth and establish Comscore as the standard for modern measurement. There are significant opportunities in front of us, including launching new and enhanced products, closing multimillion-dollar deals in local TV, expanding our Proximic footprint, and delivering AI and Creator solutions. Our enhanced operating model will better position us to deliver value for our customers, employees, and shareholders."</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Business and Financial Highlights</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2"/>
        </w:rPr>
        <w:t>Revenue for the second quarter was $79.2 million compared to $89.4 million in Q2 2025, including $6.2 million and $9.6 million of revenue from the now-divested Movies business, respectively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Net loss of $14.8 million compared to</w:t>
      </w:r>
      <w:r>
        <w:rPr>
          <w:color w:val="000000"/>
        </w:rPr>
        <w:t xml:space="preserve"> </w:t>
      </w:r>
      <w:r>
        <w:rPr>
          <w:rFonts w:ascii="Times New Roman;serif" w:hAnsi="Times New Roman;serif"/>
          <w:b w:val="false"/>
          <w:color w:val="000000"/>
          <w:sz w:val="22"/>
        </w:rPr>
        <w:t>$9.5 million in Q2 2025, partially due to loss on divestiture of business and loss on extinguishment of debt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Adjusted EBITDA</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of $1.3 million compared to $8.9 million in Q2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Closed and completed the divestiture of the Movies business for an aggregate base purchase price of $70.0 million in cash, subject to customary adjustments and other terms set forth in the purchase agreement.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Full repayment of $40.1 million outstanding obligations under the senior secured credit facility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Full year 2026 outlook for revenue to range between $315 and $325 million</w:t>
      </w:r>
    </w:p>
    <w:p>
      <w:pPr>
        <w:pStyle w:val="TextBody"/>
        <w:bidi w:val="0"/>
        <w:spacing w:lineRule="auto" w:line="288" w:before="240" w:after="283"/>
        <w:jc w:val="both"/>
        <w:rPr>
          <w:rFonts w:ascii="Times New Roman;serif" w:hAnsi="Times New Roman;serif"/>
          <w:b/>
          <w:color w:val="242424"/>
          <w:sz w:val="22"/>
        </w:rPr>
      </w:pPr>
      <w:r>
        <w:rPr>
          <w:rFonts w:ascii="Times New Roman;serif" w:hAnsi="Times New Roman;serif"/>
          <w:b/>
          <w:color w:val="242424"/>
          <w:sz w:val="22"/>
        </w:rPr>
        <w:t xml:space="preserve">Second Quarter Summary Results </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Revenue in the second quarter was $79.2 million, down 11.3% from $89.4 million in the second quarter of 2025. Content &amp; Ad Measurement revenue decreased 11.7% compared to the prior-year quarter due to lower Syndicated Audience revenue, primarily related to the divestiture of the Movies business, as well as lower performance in national TV, local TV and syndicated digital products. Cross-Platform revenue decreased 2.1% from the prior-year period, primarily driven by lower usage in Proximic, partially offset by growth from new business in CCM. Research &amp; Insight Solutions revenue decreased 9.2% from the prior-year period, primarily due to lower renewals and lower deliveries of certain custom digital products.</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Core operating expenses, which include cost of revenues, sales and marketing, research and development and general and administrative expenses, were $87.9 million for the quarter, down 2.8% compared to $90.4 million in the second quarter of last year, primarily due to lower employee compensation costs, partially offset by higher professional fees related to the divestiture of the Movies business.</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Net loss for the quarter was $14.8 million compared to $9.5 million in the prior-year period, resulting in net loss margins of 18.7% and 10.6% of revenue, respectively. Loss per share attributable to common shares was $(0.97) for the second </w:t>
      </w:r>
    </w:p>
    <w:p>
      <w:pPr>
        <w:pStyle w:val="TextBody"/>
        <w:bidi w:val="0"/>
        <w:spacing w:lineRule="auto" w:line="288"/>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Adjusted EBITDA and adjusted EBITDA margin are non-GAAP measures defined in the "Second Quarter Summary Results" section and are reconciled to net income (loss) and net income (loss) margin in the addendum of this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quarter of 2026. After accounting for dividends on the Company's then-outstanding Series B convertible preferred stock, loss per share attributable to common shares was $(2.73) for the second quarter of 2025.</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Non-GAAP adjusted EBITDA for the quarter was $1.3 million, compared to $8.9 million in the prior-year period, resulting in adjusted EBITDA margins of 1.7% and 10.0%, respectively. Beginning in the third quarter of 2025 (and for comparable prior periods), the Company modified its adjusted EBITDA metric to exclude certain costs related to its consideration of strategic alternatives. As revised, adjusted EBITDA and adjusted EBITDA margin exclude depreciation and amortization, net interest expense, income taxes, impairment charges, stock-based compensation expense, transformation costs, restructuring costs, strategic transaction costs, gain/loss from foreign currency transactions, loss on extinguishment of debt, loss on divestiture of business, and other items as presented in the accompanying tables.</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Balance Sheet and Liquidity</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As of June 30, 2026, cash, cash equivalents and restricted cash totaled $28.7 million, including $3.0 million in restricted cash. </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On May 27, 2026, the Company used a portion of proceeds from the divestiture of the Movies business to repay in full all outstanding obligations under its senior secured credit facility. The repayment totaled approximately $40.1 million and resulted in the termination of the term loan, revolving facility, security interests and all other obligations under the Company's senior secured financing agreement with Blue Torch Finance LLC. As of June 30, 2026, the Company's remaining debt obligations consisted of outstanding principal on finance leases related to equipment purchases.</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2026 Outlook</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Mary Margaret Curry, Comscore's Chief Financial Officer, concluded, "As we move through the second half of the year, under Matt's leadership, we will execute against our new ROI operating model and will work to build a lasting foundation for value creation. We expect that market-share opportunities in our established businesses, combined with revenue from our targeted product expansion, will help us overcome any non-strategic revenue impacts that may occur in the future. However, given the divestiture of our Movies business and the significant transformation we are undertaking, we do not anticipate near-term growth. As a result, our outlook for the full year 2026 calls for revenue to be between $315 and $325 million, with an adjusted EBITDA margin in the low-to-mid single digits. As we announced yesterday, we expect to generate between $20 and $25 million in annual run-rate cost savings from our realignment plan, some of which will be used to hire key leaders that are critical to our strategy, invest in our continuing employees, and fund other transformational initiatives. We expect to enter 2027 with a leaner, more flexible cost model that allows us to stabilize our business and plan for future growth."</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The Company does not provide GAAP net income (loss) or net income (loss) margin on a forward-looking basis because it is unable to predict with reasonable certainty its future stock-based compensation expense, fair value adjustments, litigation and restructuring expense, strategic transaction costs, foreign currency transaction impact, and any unusual gains or losses without unreasonable effort. These items are uncertain, depend on various factors, and could be material to results computed in accordance with GAAP. For this reason, the Company is unable without unreasonable effort to provide a reconciliation of adjusted EBITDA or adjusted EBITDA margin to the most directly comparable GAAP measure, GAAP net income (loss) and net income (loss) margin, on a forward-looking basis.</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Conference Call Information for Today, Wednesday, August 12, 2026 at 5:00 p.m. ET</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Management will host a conference call to discuss the results on Wednesday, August 12, 2026 at 5:00 p.m. ET. The live audio webcast along with supplemental information will be accessible at ir.comscore.com/events-presentations. Participants can obtain dial-in information by registering for the call at the same web address and are advised to register in advance of the call to avoid delays. Following the conference call, a replay will be available via webcast at ir.comscore.com/events-presentations.</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About Comscore</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Comscore is a global, trusted partner for planning, transacting and evaluating media across platforms. With an unmatched data footprint that combines digital, linear TV and over-the-top viewership intelligence with advanced audience insights, Comscore empowers media buyers and sellers to quantify their multiscreen behavior and make meaningful business decisions with confidence. A proven leader in measuring digital and TV audiences and advertising at scale, Comscore is the industry's emerging, third-party source for reliable and comprehensive cross-platform measurement.</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 xml:space="preserve">Cautionary Note Regarding Forward-Looking Statements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within the meaning of federal and state securities laws, including, without limitation, the Company's expectations, forecasts, plans and opinions regarding future value creation; the timing, scope and impact of the Company's realignment plan and ROI-based operating model; the amount and potential use of expected cost savings from the realignment plan; future growth opportunities; product launches and potential commercial deals; the impact of the Movies divestiture and loss of other non-strategic revenue; and full year 2026 revenue and adjusted EBITDA performance. These statements involve risks and uncertainties that could cause actual events to differ materially from expectations, including, but not limited to, impediments to the Company's ability to execute the plan as currently contemplated, higher-than-expected costs to implement the plan, changes to the assumptions upon which the estimated charges and savings are based, unintended consequences from the plan that could negatively impact the Company's business or strategy, cash flow and liquidity challenges related to plan implementation and the loss of non-strategic revenue, changes in the Company's business and customer relationships, external market conditions, and the Company's ability to achieve its expected strategic, financial and operational plans. For additional discussion of risk factors, please refer to the Company's Annual Reports on Form 10-K, Quarterly Reports on Form 10-Q, and other filings that the Company makes from time to time with the U.S. Securities and Exchange Commission (the "SEC"), which are available on the SEC's website (www.sec.gov).</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Investors are cautioned not to place undue reliance on the Company's forward-looking statements, which speak only as of the date such statements are made. Except as required by law, the Company does not intend or undertake, and expressly disclaims any duty or obligation, to publicly update any forward-looking statements to reflect events, circumstances or new information after the date of this press release or to reflect the occurrence of unanticipated events.</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Use of Non-GAAP Financial Measures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To provide investors with additional information regarding the Company's financial results, the Company is disclosing in this press release adjusted EBITDA and adjusted EBITDA margin, which are non-GAAP financial measures used by management to understand and evaluate the Company's core operating performance and trends. Management believes that these non-GAAP financial measures provide useful information to investors and others in understanding and evaluating the Company's operating results, as they permit investors to view core business performance using the same metrics that management uses to evaluate performance. Nevertheless, the Company's use of these non-GAAP financial measures has limitations as an analytical tool, and investors should not consider these measures in isolation or as a substitute for analysis of the Company's results as reported under GAAP. Instead, investors should consider these measures alongside GAAP-based financial performance measures, net income (loss), net income (loss) margin, various cash flow metrics, and the Company's other GAAP financial results. Set forth below are reconciliations of these non-GAAP financial measures to their most directly comparable GAAP financial measures, net income (loss) and net income (loss) margin. These reconciliations should be carefully evaluated.</w:t>
      </w:r>
    </w:p>
    <w:tbl>
      <w:tblPr>
        <w:tblW w:w="2548" w:type="dxa"/>
        <w:jc w:val="left"/>
        <w:tblInd w:w="0" w:type="dxa"/>
        <w:tblLayout w:type="fixed"/>
        <w:tblCellMar>
          <w:top w:w="28" w:type="dxa"/>
          <w:left w:w="28" w:type="dxa"/>
          <w:bottom w:w="28" w:type="dxa"/>
          <w:right w:w="28" w:type="dxa"/>
        </w:tblCellMar>
      </w:tblPr>
      <w:tblGrid>
        <w:gridCol w:w="1002"/>
        <w:gridCol w:w="649"/>
        <w:gridCol w:w="525"/>
        <w:gridCol w:w="109"/>
        <w:gridCol w:w="109"/>
        <w:gridCol w:w="154"/>
      </w:tblGrid>
      <w:tr>
        <w:trPr/>
        <w:tc>
          <w:tcPr>
            <w:tcW w:w="100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Media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Marie Scoutas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Comscore,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(917) 213-2032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Press@comscore.com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tbl>
      <w:tblPr>
        <w:tblW w:w="3202" w:type="dxa"/>
        <w:jc w:val="left"/>
        <w:tblInd w:w="0" w:type="dxa"/>
        <w:tblLayout w:type="fixed"/>
        <w:tblCellMar>
          <w:top w:w="28" w:type="dxa"/>
          <w:left w:w="28" w:type="dxa"/>
          <w:bottom w:w="28" w:type="dxa"/>
          <w:right w:w="28" w:type="dxa"/>
        </w:tblCellMar>
      </w:tblPr>
      <w:tblGrid>
        <w:gridCol w:w="1064"/>
        <w:gridCol w:w="936"/>
        <w:gridCol w:w="939"/>
        <w:gridCol w:w="109"/>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Investors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Jackie Marcus or Nick Nelson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Alpha IR Group</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(617) 466-9257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Investor@comscore.com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881"/>
        <w:gridCol w:w="2335"/>
        <w:gridCol w:w="2352"/>
        <w:gridCol w:w="201"/>
        <w:gridCol w:w="756"/>
        <w:gridCol w:w="111"/>
        <w:gridCol w:w="109"/>
        <w:gridCol w:w="109"/>
        <w:gridCol w:w="109"/>
        <w:gridCol w:w="223"/>
        <w:gridCol w:w="840"/>
        <w:gridCol w:w="179"/>
      </w:tblGrid>
      <w:tr>
        <w:trPr/>
        <w:tc>
          <w:tcPr>
            <w:tcW w:w="2881"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and per share data)</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 of $292 and $496, respectively</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57,260 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87,826 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96,270 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net </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assets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tax assets </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Intangible assets, net </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248,636 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327,530 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407,709 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Convertible Redeemable Preferred Stock and Stockholders' Equity</w:t>
            </w:r>
          </w:p>
        </w:tc>
        <w:tc>
          <w:tcPr>
            <w:tcW w:w="10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expenses </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44,879 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36,575 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756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advances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115,179 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122,891 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term loan</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39,297 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accrued data costs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7568"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payable to preferred stockholders</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148,408 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206,548 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C convertible redeemable preferred stock, $0.001 par value; 12,670,863 shares authorized, issued and outstanding as of June 30, 2026 and December 31, 2025; aggregate liquidation preference of $183,728 as of June 30, 2026 and December 31, 2025</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89,722 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1,329,137 shares authorized as of June 30, 2026 and December 31, 2025; no shares issued or outstanding as of June 30, 2026 or December 31, 2025</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$0.001 par value; 46,000,000 shares authorized as of June 30, 2026 and December 31, 2025; 15,522,565 shares issued and 15,184,326 shares outstanding as of June 30, 2026, and 15,214,378 shares issued and 14,876,139 shares outstanding as of December 31, 2025 </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1,783,261 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1,781,265 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(12,796)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(1,451,028)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(1,429,995)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338,239 shares as of June 30, 2026 and December 31, 2025</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(229,984)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(229,984)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89,468 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111,439 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convertible redeemable preferred stock and stockholders' equity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327,530 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407,709 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COMSCORE,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1881"/>
        <w:gridCol w:w="1544"/>
        <w:gridCol w:w="1556"/>
        <w:gridCol w:w="219"/>
        <w:gridCol w:w="742"/>
        <w:gridCol w:w="109"/>
        <w:gridCol w:w="109"/>
        <w:gridCol w:w="109"/>
        <w:gridCol w:w="109"/>
        <w:gridCol w:w="196"/>
        <w:gridCol w:w="710"/>
        <w:gridCol w:w="109"/>
        <w:gridCol w:w="109"/>
        <w:gridCol w:w="109"/>
        <w:gridCol w:w="109"/>
        <w:gridCol w:w="202"/>
        <w:gridCol w:w="759"/>
        <w:gridCol w:w="109"/>
        <w:gridCol w:w="109"/>
        <w:gridCol w:w="109"/>
        <w:gridCol w:w="109"/>
        <w:gridCol w:w="196"/>
        <w:gridCol w:w="736"/>
        <w:gridCol w:w="156"/>
      </w:tblGrid>
      <w:tr>
        <w:trPr/>
        <w:tc>
          <w:tcPr>
            <w:tcW w:w="188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and per share data)</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Revenues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Cost of revenues</w:t>
            </w:r>
            <w:r>
              <w:rPr>
                <w:color w:val="000000"/>
              </w:rPr>
              <w:t xml:space="preserve"> </w:t>
            </w:r>
            <w:r>
              <w:rPr>
                <w:rFonts w:ascii="Times New Roman;serif" w:hAnsi="Times New Roman;serif"/>
                <w:b w:val="false"/>
                <w:color w:val="000000"/>
                <w:sz w:val="12"/>
              </w:rPr>
              <w:t>(1) (2)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Selling and marketing </w:t>
            </w:r>
            <w:r>
              <w:rPr>
                <w:rFonts w:ascii="Times New Roman;serif" w:hAnsi="Times New Roman;serif"/>
                <w:b w:val="false"/>
                <w:color w:val="000000"/>
                <w:sz w:val="12"/>
              </w:rPr>
              <w:t>(1) (2)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Research and development</w:t>
            </w:r>
            <w:r>
              <w:rPr>
                <w:color w:val="000000"/>
              </w:rPr>
              <w:t xml:space="preserve"> </w:t>
            </w:r>
            <w:r>
              <w:rPr>
                <w:rFonts w:ascii="Times New Roman;serif" w:hAnsi="Times New Roman;serif"/>
                <w:b w:val="false"/>
                <w:color w:val="000000"/>
                <w:sz w:val="12"/>
              </w:rPr>
              <w:t xml:space="preserve">(1) (2)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General and administrative </w:t>
            </w:r>
            <w:r>
              <w:rPr>
                <w:rFonts w:ascii="Times New Roman;serif" w:hAnsi="Times New Roman;serif"/>
                <w:b w:val="false"/>
                <w:color w:val="000000"/>
                <w:sz w:val="12"/>
              </w:rPr>
              <w:t>(1) (2)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divestiture of business,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 from operations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from foreign currency transactions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available to common stockholders:</w:t>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redeemable preferred stock dividends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loss available to common stockholders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common share:</w:t>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shares used in per share calculation - Common Stock:</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5,114,830 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15,190,902 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5,078,069 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cumulative translation adjustment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40" w:after="283"/>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Excludes amortization of intangible assets, which is presented as a separate line item.</w:t>
            </w:r>
          </w:p>
        </w:tc>
      </w:tr>
      <w:tr>
        <w:trPr/>
        <w:tc>
          <w:tcPr>
            <w:tcW w:w="7393" w:type="dxa"/>
            <w:gridSpan w:val="12"/>
            <w:tcBorders/>
            <w:tcMar>
              <w:top w:w="0" w:type="dxa"/>
              <w:left w:w="0" w:type="dxa"/>
              <w:bottom w:w="0" w:type="dxa"/>
              <w:right w:w="0" w:type="dxa"/>
            </w:tcMar>
            <w:vAlign w:val="center"/>
          </w:tcPr>
          <w:p>
            <w:pPr>
              <w:pStyle w:val="TableContents"/>
              <w:bidi w:val="0"/>
              <w:spacing w:lineRule="auto" w:line="240" w:before="0" w:after="4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Stock-based compensation (benefit) expense is included in the line items above as follows: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 (benefit) expense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COMSCORE,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tbl>
      <w:tblPr>
        <w:tblW w:w="8207" w:type="dxa"/>
        <w:jc w:val="center"/>
        <w:tblInd w:w="0" w:type="dxa"/>
        <w:tblLayout w:type="fixed"/>
        <w:tblCellMar>
          <w:top w:w="28" w:type="dxa"/>
          <w:left w:w="28" w:type="dxa"/>
          <w:bottom w:w="28" w:type="dxa"/>
          <w:right w:w="28" w:type="dxa"/>
        </w:tblCellMar>
      </w:tblPr>
      <w:tblGrid>
        <w:gridCol w:w="2018"/>
        <w:gridCol w:w="1772"/>
        <w:gridCol w:w="1775"/>
        <w:gridCol w:w="196"/>
        <w:gridCol w:w="721"/>
        <w:gridCol w:w="109"/>
        <w:gridCol w:w="109"/>
        <w:gridCol w:w="109"/>
        <w:gridCol w:w="109"/>
        <w:gridCol w:w="196"/>
        <w:gridCol w:w="721"/>
        <w:gridCol w:w="109"/>
        <w:gridCol w:w="109"/>
        <w:gridCol w:w="154"/>
      </w:tblGrid>
      <w:tr>
        <w:trPr/>
        <w:tc>
          <w:tcPr>
            <w:tcW w:w="201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Operating activities</w:t>
            </w:r>
            <w:r>
              <w:rPr>
                <w:rFonts w:ascii="Times New Roman;serif" w:hAnsi="Times New Roman;serif"/>
                <w:b w:val="false"/>
                <w:color w:val="000000"/>
                <w:sz w:val="18"/>
              </w:rPr>
              <w:t>:</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loss on extinguishment of debt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of finance leases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intangible assets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divestiture of business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(benefit) provision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currency gain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and customer advances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Investing activities</w:t>
            </w:r>
            <w:r>
              <w:rPr>
                <w:rFonts w:ascii="Times New Roman;serif" w:hAnsi="Times New Roman;serif"/>
                <w:b w:val="false"/>
                <w:color w:val="000000"/>
                <w:sz w:val="18"/>
              </w:rPr>
              <w:t>:</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divestiture of business, net of cash transferred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Financing activities</w:t>
            </w:r>
            <w:r>
              <w:rPr>
                <w:rFonts w:ascii="Times New Roman;serif" w:hAnsi="Times New Roman;serif"/>
                <w:b w:val="false"/>
                <w:color w:val="000000"/>
                <w:sz w:val="18"/>
              </w:rPr>
              <w:t>:</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term loan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insurance financing</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preferred stock and common stock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payment at initial value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financing and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5753" w:type="dxa"/>
        <w:jc w:val="center"/>
        <w:tblInd w:w="0" w:type="dxa"/>
        <w:tblLayout w:type="fixed"/>
        <w:tblCellMar>
          <w:top w:w="28" w:type="dxa"/>
          <w:left w:w="28" w:type="dxa"/>
          <w:bottom w:w="28" w:type="dxa"/>
          <w:right w:w="28" w:type="dxa"/>
        </w:tblCellMar>
      </w:tblPr>
      <w:tblGrid>
        <w:gridCol w:w="1262"/>
        <w:gridCol w:w="1105"/>
        <w:gridCol w:w="1112"/>
        <w:gridCol w:w="196"/>
        <w:gridCol w:w="646"/>
        <w:gridCol w:w="109"/>
        <w:gridCol w:w="109"/>
        <w:gridCol w:w="109"/>
        <w:gridCol w:w="109"/>
        <w:gridCol w:w="196"/>
        <w:gridCol w:w="646"/>
        <w:gridCol w:w="154"/>
      </w:tblGrid>
      <w:tr>
        <w:trPr/>
        <w:tc>
          <w:tcPr>
            <w:tcW w:w="126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June 30, </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cash, cash equivalents and restricted cash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both"/>
        <w:rPr>
          <w:rFonts w:ascii="Times New Roman;serif" w:hAnsi="Times New Roman;serif"/>
          <w:b/>
          <w:color w:val="000000"/>
          <w:sz w:val="22"/>
        </w:rPr>
      </w:pPr>
      <w:r>
        <w:rPr>
          <w:rFonts w:ascii="Times New Roman;serif" w:hAnsi="Times New Roman;serif"/>
          <w:b/>
          <w:color w:val="000000"/>
          <w:sz w:val="22"/>
        </w:rPr>
        <w:t>Reconciliation of Non-GAAP Financial Measures</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a reconciliation of GAAP net loss and net loss margin to non-GAAP adjusted EBITDA and adjusted EBITDA margin for each of the periods identified:</w:t>
      </w:r>
    </w:p>
    <w:tbl>
      <w:tblPr>
        <w:tblW w:w="10205" w:type="dxa"/>
        <w:jc w:val="center"/>
        <w:tblInd w:w="0" w:type="dxa"/>
        <w:tblLayout w:type="fixed"/>
        <w:tblCellMar>
          <w:top w:w="28" w:type="dxa"/>
          <w:left w:w="28" w:type="dxa"/>
          <w:bottom w:w="28" w:type="dxa"/>
          <w:right w:w="28" w:type="dxa"/>
        </w:tblCellMar>
      </w:tblPr>
      <w:tblGrid>
        <w:gridCol w:w="1392"/>
        <w:gridCol w:w="1187"/>
        <w:gridCol w:w="1189"/>
        <w:gridCol w:w="226"/>
        <w:gridCol w:w="830"/>
        <w:gridCol w:w="296"/>
        <w:gridCol w:w="109"/>
        <w:gridCol w:w="109"/>
        <w:gridCol w:w="109"/>
        <w:gridCol w:w="244"/>
        <w:gridCol w:w="782"/>
        <w:gridCol w:w="319"/>
        <w:gridCol w:w="109"/>
        <w:gridCol w:w="109"/>
        <w:gridCol w:w="109"/>
        <w:gridCol w:w="226"/>
        <w:gridCol w:w="830"/>
        <w:gridCol w:w="296"/>
        <w:gridCol w:w="109"/>
        <w:gridCol w:w="109"/>
        <w:gridCol w:w="109"/>
        <w:gridCol w:w="225"/>
        <w:gridCol w:w="827"/>
        <w:gridCol w:w="355"/>
      </w:tblGrid>
      <w:tr>
        <w:trPr/>
        <w:tc>
          <w:tcPr>
            <w:tcW w:w="139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(Unaudited)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(Unaudited)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(Unaudited)</w:t>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GAAP net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(14,785)</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(9,492)</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(21,033)</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(13,485)</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11,674 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3,311 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of finance leases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tax (benefit) provision </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(7,299)</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(3,442)</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5,502 </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divestiture of business, net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Strategic transaction costs </w:t>
            </w:r>
            <w:r>
              <w:rPr>
                <w:rFonts w:ascii="Times New Roman;serif" w:hAnsi="Times New Roman;serif"/>
                <w:b w:val="false"/>
                <w:color w:val="000000"/>
                <w:sz w:val="12"/>
              </w:rPr>
              <w:t>(1)</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Transformation costs </w:t>
            </w:r>
            <w:r>
              <w:rPr>
                <w:rFonts w:ascii="Times New Roman;serif" w:hAnsi="Times New Roman;serif"/>
                <w:b w:val="false"/>
                <w:color w:val="000000"/>
                <w:sz w:val="12"/>
              </w:rPr>
              <w:t>(2)</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cloud-computing implementation costs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(benefit) expense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2,486 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from foreign currency transactions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3,803 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5,546 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3768"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3768"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3768"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3768"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Non-GAAP adjusted EBITDA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8,915 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6,389 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16,285 </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loss margin </w:t>
            </w:r>
            <w:r>
              <w:rPr>
                <w:rFonts w:ascii="Times New Roman;serif" w:hAnsi="Times New Roman;serif"/>
                <w:b w:val="false"/>
                <w:color w:val="000000"/>
                <w:sz w:val="12"/>
              </w:rPr>
              <w:t>(3)</w:t>
            </w:r>
          </w:p>
        </w:tc>
        <w:tc>
          <w:tcPr>
            <w:tcW w:w="10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2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3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2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3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Non-GAAP adjusted EBITDA margin </w:t>
            </w:r>
            <w:r>
              <w:rPr>
                <w:rFonts w:ascii="Times New Roman;serif" w:hAnsi="Times New Roman;serif"/>
                <w:b w:val="false"/>
                <w:color w:val="000000"/>
                <w:sz w:val="12"/>
              </w:rPr>
              <w:t>(4)</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Strategic transaction costs represent third-party professional fees and other charges incurred in connection with strategic transactions, including mergers, acquisitions, financings and dispositions, regardless of whether consummated, which the Company otherwise would not have incurred as part of its normal business operations.</w:t>
      </w:r>
    </w:p>
    <w:p>
      <w:pPr>
        <w:pStyle w:val="TextBody"/>
        <w:bidi w:val="0"/>
        <w:spacing w:lineRule="auto" w:line="288" w:before="0" w:after="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Transformation costs represent (1) expenses incurred prior to formal launch of identified strategic projects with anticipated long-term benefits to the Company, generally relating to third-party professional fees and non-capitalizable technology costs tied directly to the identified projects and (2) severance costs associated with the reorganization of teams in connection with the identified projects.</w:t>
      </w:r>
    </w:p>
    <w:p>
      <w:pPr>
        <w:pStyle w:val="TextBody"/>
        <w:bidi w:val="0"/>
        <w:spacing w:lineRule="auto" w:line="288" w:before="0" w:after="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Net loss margin is calculated by dividing net loss by revenues reported on the Condensed Consolidated Statements of Operations and Comprehensive Loss for the applicable period.</w:t>
      </w:r>
    </w:p>
    <w:p>
      <w:pPr>
        <w:pStyle w:val="TextBody"/>
        <w:bidi w:val="0"/>
        <w:spacing w:lineRule="auto" w:line="288" w:before="0" w:after="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Non-GAAP adjusted EBITDA margin is calculated by dividing adjusted EBITDA by revenues reported on the Condensed Consolidated Statements of Operations and Comprehensive Loss for the applicable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both"/>
        <w:rPr>
          <w:rFonts w:ascii="Times New Roman;serif" w:hAnsi="Times New Roman;serif"/>
          <w:b/>
          <w:color w:val="000000"/>
          <w:sz w:val="22"/>
        </w:rPr>
      </w:pPr>
      <w:r>
        <w:rPr>
          <w:rFonts w:ascii="Times New Roman;serif" w:hAnsi="Times New Roman;serif"/>
          <w:b/>
          <w:color w:val="000000"/>
          <w:sz w:val="22"/>
        </w:rPr>
        <w:t>Revenues</w:t>
      </w: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Revenues from the Company's offerings of products and services are as follows:</w:t>
      </w:r>
    </w:p>
    <w:tbl>
      <w:tblPr>
        <w:tblW w:w="10205" w:type="dxa"/>
        <w:jc w:val="center"/>
        <w:tblInd w:w="0" w:type="dxa"/>
        <w:tblLayout w:type="fixed"/>
        <w:tblCellMar>
          <w:top w:w="28" w:type="dxa"/>
          <w:left w:w="28" w:type="dxa"/>
          <w:bottom w:w="28" w:type="dxa"/>
          <w:right w:w="28" w:type="dxa"/>
        </w:tblCellMar>
      </w:tblPr>
      <w:tblGrid>
        <w:gridCol w:w="691"/>
        <w:gridCol w:w="508"/>
        <w:gridCol w:w="473"/>
        <w:gridCol w:w="236"/>
        <w:gridCol w:w="781"/>
        <w:gridCol w:w="131"/>
        <w:gridCol w:w="118"/>
        <w:gridCol w:w="118"/>
        <w:gridCol w:w="118"/>
        <w:gridCol w:w="334"/>
        <w:gridCol w:w="274"/>
        <w:gridCol w:w="484"/>
        <w:gridCol w:w="118"/>
        <w:gridCol w:w="118"/>
        <w:gridCol w:w="118"/>
        <w:gridCol w:w="236"/>
        <w:gridCol w:w="781"/>
        <w:gridCol w:w="131"/>
        <w:gridCol w:w="118"/>
        <w:gridCol w:w="118"/>
        <w:gridCol w:w="118"/>
        <w:gridCol w:w="334"/>
        <w:gridCol w:w="274"/>
        <w:gridCol w:w="484"/>
        <w:gridCol w:w="118"/>
        <w:gridCol w:w="118"/>
        <w:gridCol w:w="118"/>
        <w:gridCol w:w="213"/>
        <w:gridCol w:w="737"/>
        <w:gridCol w:w="118"/>
        <w:gridCol w:w="118"/>
        <w:gridCol w:w="118"/>
        <w:gridCol w:w="118"/>
        <w:gridCol w:w="269"/>
        <w:gridCol w:w="270"/>
        <w:gridCol w:w="676"/>
      </w:tblGrid>
      <w:tr>
        <w:trPr/>
        <w:tc>
          <w:tcPr>
            <w:tcW w:w="69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(Unaudited)</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(Unaudited)</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Variance</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Variance</w:t>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Content &amp; Ad Measurement</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Syndicated Audience </w:t>
            </w:r>
            <w:r>
              <w:rPr>
                <w:rFonts w:ascii="Times New Roman;serif" w:hAnsi="Times New Roman;serif"/>
                <w:b w:val="false"/>
                <w:color w:val="000000"/>
                <w:sz w:val="12"/>
              </w:rPr>
              <w:t>(1)</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Cross-Platform</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Content &amp; Ad Measurement</w:t>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67,777 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85.5 </w:t>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85.9 </w:t>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&amp; Insight Solutions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79,246 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89,389 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Syndicated Audience revenue includes revenue from the Movies business, which decreased from $9.6 million in the second quarter of 2025 to $6.2 million in the second quarter of 2026 due to the divestiture of the Movies business on May 27, 2026.</w:t>
            </w:r>
          </w:p>
        </w:tc>
      </w:tr>
    </w:tbl>
    <w:tbl>
      <w:tblPr>
        <w:tblW w:w="10205" w:type="dxa"/>
        <w:jc w:val="center"/>
        <w:tblInd w:w="0" w:type="dxa"/>
        <w:tblLayout w:type="fixed"/>
        <w:tblCellMar>
          <w:top w:w="28" w:type="dxa"/>
          <w:left w:w="28" w:type="dxa"/>
          <w:bottom w:w="28" w:type="dxa"/>
          <w:right w:w="28" w:type="dxa"/>
        </w:tblCellMar>
      </w:tblPr>
      <w:tblGrid>
        <w:gridCol w:w="675"/>
        <w:gridCol w:w="489"/>
        <w:gridCol w:w="453"/>
        <w:gridCol w:w="227"/>
        <w:gridCol w:w="855"/>
        <w:gridCol w:w="126"/>
        <w:gridCol w:w="118"/>
        <w:gridCol w:w="118"/>
        <w:gridCol w:w="118"/>
        <w:gridCol w:w="333"/>
        <w:gridCol w:w="274"/>
        <w:gridCol w:w="474"/>
        <w:gridCol w:w="118"/>
        <w:gridCol w:w="118"/>
        <w:gridCol w:w="118"/>
        <w:gridCol w:w="227"/>
        <w:gridCol w:w="855"/>
        <w:gridCol w:w="126"/>
        <w:gridCol w:w="118"/>
        <w:gridCol w:w="118"/>
        <w:gridCol w:w="118"/>
        <w:gridCol w:w="333"/>
        <w:gridCol w:w="274"/>
        <w:gridCol w:w="474"/>
        <w:gridCol w:w="118"/>
        <w:gridCol w:w="118"/>
        <w:gridCol w:w="118"/>
        <w:gridCol w:w="213"/>
        <w:gridCol w:w="733"/>
        <w:gridCol w:w="118"/>
        <w:gridCol w:w="118"/>
        <w:gridCol w:w="118"/>
        <w:gridCol w:w="118"/>
        <w:gridCol w:w="253"/>
        <w:gridCol w:w="253"/>
        <w:gridCol w:w="670"/>
      </w:tblGrid>
      <w:tr>
        <w:trPr/>
        <w:tc>
          <w:tcPr>
            <w:tcW w:w="67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(Unaudited)</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(Unaudited)</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Variance</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Variance</w:t>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Content &amp; Ad Measurement</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Syndicated Audience </w:t>
            </w:r>
            <w:r>
              <w:rPr>
                <w:rFonts w:ascii="Times New Roman;serif" w:hAnsi="Times New Roman;serif"/>
                <w:b w:val="false"/>
                <w:color w:val="000000"/>
                <w:sz w:val="12"/>
              </w:rPr>
              <w:t>(1)</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127,457 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Cross-Platform</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Content &amp; Ad Measurement</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140,890 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149,919 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85.6 </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&amp; Insight Solutions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23,678 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164,568 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175,098 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Syndicated Audience revenue includes revenue from the Movies business, which decreased from $19.0 million in the six months ended June 30, 2025 to $16.2 million in the six months ended June 30, 2026 due to the divestiture of the Movies business on May 27,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4121</Words>
  <Characters>23573</Characters>
  <CharactersWithSpaces>27181</CharactersWithSpaces>
  <Paragraphs>837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