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19, 2026</w:t>
      </w:r>
    </w:p>
    <w:p>
      <w:pPr>
        <w:pStyle w:val="TextBody"/>
        <w:bidi w:val="0"/>
        <w:spacing w:lineRule="auto" w:line="288" w:before="0" w:after="40"/>
        <w:jc w:val="right"/>
        <w:rPr>
          <w:rFonts w:ascii="Times New Roman;serif" w:hAnsi="Times New Roman;serif"/>
          <w:b/>
          <w:color w:val="000000"/>
          <w:sz w:val="16"/>
        </w:rPr>
      </w:pPr>
      <w:r>
        <w:rPr>
          <w:rFonts w:ascii="Times New Roman;serif" w:hAnsi="Times New Roman;serif"/>
          <w:b/>
          <w:color w:val="000000"/>
          <w:sz w:val="16"/>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2"/>
        </w:rPr>
        <w:t>UNITED STATES SECURITIES AND EXCHANGE COMMISSION</w:t>
      </w:r>
      <w:r>
        <w:rPr>
          <w:rFonts w:ascii="Times New Roman;serif" w:hAnsi="Times New Roman;serif"/>
          <w:b/>
          <w:color w:val="000000"/>
          <w:sz w:val="24"/>
        </w:rPr>
        <w:br/>
        <w:t>Washington, D.C. 20549</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S-8</w:t>
        <w:br/>
        <w:t>REGISTRATION STATEMENT</w:t>
      </w:r>
    </w:p>
    <w:p>
      <w:pPr>
        <w:pStyle w:val="TextBody"/>
        <w:bidi w:val="0"/>
        <w:spacing w:lineRule="auto" w:line="288" w:before="0" w:after="2"/>
        <w:jc w:val="center"/>
        <w:rPr>
          <w:rFonts w:ascii="Times New Roman;serif" w:hAnsi="Times New Roman;serif"/>
          <w:b/>
          <w:color w:val="000000"/>
          <w:sz w:val="32"/>
        </w:rPr>
      </w:pPr>
      <w:r>
        <w:rPr>
          <w:rFonts w:ascii="Times New Roman;serif" w:hAnsi="Times New Roman;serif"/>
          <w:b/>
          <w:color w:val="000000"/>
          <w:sz w:val="32"/>
        </w:rPr>
        <w:t>UNDER</w:t>
      </w:r>
    </w:p>
    <w:p>
      <w:pPr>
        <w:pStyle w:val="TextBody"/>
        <w:bidi w:val="0"/>
        <w:spacing w:lineRule="auto" w:line="288" w:before="0" w:after="2"/>
        <w:jc w:val="center"/>
        <w:rPr/>
      </w:pPr>
      <w:r>
        <w:rPr>
          <w:rFonts w:ascii="Times New Roman;serif" w:hAnsi="Times New Roman;serif"/>
          <w:b/>
          <w:color w:val="000000"/>
          <w:sz w:val="32"/>
        </w:rPr>
        <w:t>THE SECURITIES ACT OF 1933</w:t>
      </w:r>
      <w:r>
        <w:rPr>
          <w:rFonts w:ascii="Times New Roman;serif" w:hAnsi="Times New Roman;serif"/>
          <w:b/>
          <w:color w:val="000000"/>
          <w:sz w:val="22"/>
        </w:rPr>
        <w:br/>
      </w:r>
      <w:r>
        <w:rPr>
          <w:rFonts w:ascii="Times New Roman;serif" w:hAnsi="Times New Roman;serif"/>
          <w:b/>
          <w:color w:val="000000"/>
          <w:sz w:val="18"/>
        </w:rPr>
        <w:t>___________________________________</w:t>
      </w:r>
    </w:p>
    <w:tbl>
      <w:tblPr>
        <w:tblW w:w="6585" w:type="dxa"/>
        <w:jc w:val="left"/>
        <w:tblInd w:w="0" w:type="dxa"/>
        <w:tblLayout w:type="fixed"/>
        <w:tblCellMar>
          <w:top w:w="28" w:type="dxa"/>
          <w:left w:w="28" w:type="dxa"/>
          <w:bottom w:w="28" w:type="dxa"/>
          <w:right w:w="28" w:type="dxa"/>
        </w:tblCellMar>
      </w:tblPr>
      <w:tblGrid>
        <w:gridCol w:w="1353"/>
        <w:gridCol w:w="1190"/>
        <w:gridCol w:w="1190"/>
        <w:gridCol w:w="835"/>
        <w:gridCol w:w="835"/>
        <w:gridCol w:w="1182"/>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48"/>
              </w:rPr>
            </w:pPr>
            <w:r>
              <w:rPr>
                <w:rFonts w:ascii="Times New Roman;serif" w:hAnsi="Times New Roman;serif"/>
                <w:b/>
                <w:color w:val="000000"/>
                <w:sz w:val="48"/>
              </w:rPr>
              <w:t>COMSCORE, INC.</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65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Delaware</w:t>
            </w:r>
          </w:p>
        </w:tc>
        <w:tc>
          <w:tcPr>
            <w:tcW w:w="28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54-1955550</w:t>
            </w:r>
          </w:p>
        </w:tc>
      </w:tr>
      <w:tr>
        <w:trPr/>
        <w:tc>
          <w:tcPr>
            <w:tcW w:w="373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w:t>
            </w:r>
          </w:p>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of Incorporation or Organization)</w:t>
            </w:r>
          </w:p>
        </w:tc>
        <w:tc>
          <w:tcPr>
            <w:tcW w:w="28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11950 Democracy Drive, Suite 600</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Reston, Virginia</w:t>
            </w:r>
          </w:p>
        </w:tc>
        <w:tc>
          <w:tcPr>
            <w:tcW w:w="2852"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20190</w:t>
            </w:r>
          </w:p>
        </w:tc>
      </w:tr>
      <w:tr>
        <w:trPr/>
        <w:tc>
          <w:tcPr>
            <w:tcW w:w="373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8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65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COMSCORE, INC. AMENDED AND RESTATED</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2018 EQUITY AND INCENTIVE COMPENSATION PLAN</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COMSCORE, INC. EMPLOYMENT INDUCEMENT PLAN</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Ashley Wright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General Counsel, Corporate &amp; Securities</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comScore, Inc.</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11950 Democracy Drive, Suite 600</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Reston, Virginia 20190</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(Name and address of agent for service)</w:t>
            </w:r>
          </w:p>
        </w:tc>
      </w:tr>
      <w:tr>
        <w:trPr/>
        <w:tc>
          <w:tcPr>
            <w:tcW w:w="65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(703) 438-2000</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w:t>
            </w:r>
          </w:p>
        </w:tc>
      </w:tr>
      <w:tr>
        <w:trPr/>
        <w:tc>
          <w:tcPr>
            <w:tcW w:w="6585" w:type="dxa"/>
            <w:gridSpan w:val="6"/>
            <w:tcBorders/>
            <w:tcMar>
              <w:top w:w="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i/>
                <w:color w:val="000000"/>
                <w:sz w:val="18"/>
              </w:rPr>
              <w:t>Copies to</w:t>
            </w:r>
            <w:r>
              <w:rPr>
                <w:rFonts w:ascii="Times New Roman;serif" w:hAnsi="Times New Roman;serif"/>
                <w:b/>
                <w:color w:val="000000"/>
                <w:sz w:val="18"/>
              </w:rPr>
              <w:t>:</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Scott Rubinsky</w:t>
            </w:r>
          </w:p>
          <w:p>
            <w:pPr>
              <w:pStyle w:val="TableContents"/>
              <w:bidi w:val="0"/>
              <w:spacing w:lineRule="auto" w:line="288" w:before="0" w:after="20"/>
              <w:jc w:val="center"/>
              <w:rPr/>
            </w:pPr>
            <w:r>
              <w:rPr>
                <w:rFonts w:ascii="Times New Roman;serif" w:hAnsi="Times New Roman;serif"/>
                <w:b/>
                <w:color w:val="000000"/>
                <w:sz w:val="18"/>
              </w:rPr>
              <w:t>Vinson &amp; Elkins LLP</w:t>
            </w:r>
            <w:r>
              <w:rPr>
                <w:rFonts w:ascii="Times New Roman;serif" w:hAnsi="Times New Roman;serif"/>
                <w:b/>
                <w:color w:val="222222"/>
                <w:sz w:val="18"/>
              </w:rPr>
              <w:br/>
              <w:t>845 Texas Avenue, Suite 4700</w:t>
              <w:br/>
              <w:t>Houston, Texas 77002</w:t>
            </w:r>
          </w:p>
        </w:tc>
      </w:tr>
    </w:tbl>
    <w:p>
      <w:pPr>
        <w:pStyle w:val="TextBody"/>
        <w:bidi w:val="0"/>
        <w:spacing w:lineRule="auto" w:line="288" w:before="0" w:after="60"/>
        <w:jc w:val="left"/>
        <w:rPr>
          <w:color w:val="000000"/>
        </w:rPr>
      </w:pPr>
      <w:r>
        <w:rPr>
          <w:color w:val="000000"/>
        </w:rPr>
        <w:t>    </w:t>
      </w:r>
    </w:p>
    <w:p>
      <w:pPr>
        <w:pStyle w:val="TextBody"/>
        <w:bidi w:val="0"/>
        <w:spacing w:lineRule="auto" w:line="288" w:before="120" w:after="283"/>
        <w:ind w:left="0" w:right="0" w:firstLine="24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Securities Exchange Act of 1934, as amended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45"/>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firstLine="245"/>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4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(this "Registration Statement") is being filed for the purpose of registering the offer and sale of (i) an additional 3,000,000 shares of common stock, par value $0.001 per share (the "Common Stock") that may be issued pursuant to the comScore, Inc. Amended and Restated 2018 Equity and Incentive Compensation Plan (as amended from time to time, the "Plan") and (ii) 1,000,000 shares of Common Stock that may be issued pursuant to the comScore, Inc. Employment Inducement Plan (as amended from time to time, the "Inducement Plan"). Unless otherwise noted, all share information set forth herein has been adjusted to reflect the 1-for-20 reverse stock split effected by comScore, Inc. (the "Registrant") on December 20, 2023.</w:t>
      </w:r>
    </w:p>
    <w:p>
      <w:pPr>
        <w:pStyle w:val="TextBody"/>
        <w:bidi w:val="0"/>
        <w:spacing w:lineRule="auto" w:line="288" w:before="24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Except as otherwise set forth below, the contents of the registration statements on Form S-8 previously filed with the Securities and Exchange Commission (the "Commission") on each of June 4, 2018 (File No. 333-225400), July 17, 2020 (File No. 333-239931), June 29, 2022 (File No. 333-265922), June 30, 2023 (File No. 333-273054), June 28, 2024 (File No. 333-280562), and March 26, 2026 (File No. 333-294617), which registered the offer and sale of 624,563 shares, an additional 480,000 shares, an additional 380,000 shares, an additional 500,000 shares, an additional 900,000 shares, and an additional 2,000,000 shares, respectively, of Common Stock under the Plan, are incorporated herein by reference and made a part of this Registration Statement as permitted by General Instruction E to Form S-8.</w:t>
      </w:r>
    </w:p>
    <w:p>
      <w:pPr>
        <w:pStyle w:val="TextBody"/>
        <w:bidi w:val="0"/>
        <w:spacing w:before="240" w:after="283"/>
        <w:ind w:left="0" w:right="0" w:firstLine="245"/>
        <w:jc w:val="both"/>
        <w:rPr/>
      </w:pPr>
      <w:r>
        <w:rPr/>
      </w:r>
    </w:p>
    <w:p>
      <w:pPr>
        <w:pStyle w:val="TextBody"/>
        <w:bidi w:val="0"/>
        <w:spacing w:lineRule="auto" w:line="288" w:before="0" w:after="0"/>
        <w:ind w:left="0" w:right="0" w:firstLine="245"/>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24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The Registrant will send or give to all participants in the Plan and the Inducement Plan the document(s) containing the information required by Part I of Form S-8, as specified in Rule 428(b)(1) promulgated by the Commission under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pStyle w:val="TextBody"/>
        <w:bidi w:val="0"/>
        <w:spacing w:before="10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24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The contents of the earlier registration statements relating to the Plan, previously filed with the Commission on each of June 4, 2018 (File No. 333-225400), July 17, 2020 (File No. 333-239931), June 29, 2022 (File No. 333-265922), June 30, 2023 (File No. 333-273054), June 28, 2024 (File No. 333-280562) and March 26, 2026 (File No. 333-294617), are incorporated herein by reference and made a part of this Registration Statement.</w:t>
      </w:r>
    </w:p>
    <w:p>
      <w:pPr>
        <w:pStyle w:val="TextBody"/>
        <w:bidi w:val="0"/>
        <w:spacing w:lineRule="auto" w:line="288" w:before="24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The following documents, which are on file with the Commission, are incorporated into this Registration Statement by reference: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Registrant's Annual Report on Form 10-K for the year ended December 31, 2025;</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Registrant's Quarterly Reports on Form 10-Q for the quarterly periods ended March 31, 2026 and June 30, 2026;</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Registrant's Current Reports on Form 8-K, other than with respect to Items 2.02 or 7.01, filed with the Commission on June 2, 2026, June 3, 2026, June 9, 2026, June 23, 2026, and August 11, 2026;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description of the Common Stock contained in Exhibit 4.5 to the Registrant's Annual Report on Form 10-K, filed with the Commission on March 26, 2026, together with all amendments or reports filed for the purpose of updating such description.</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All documents filed by the Registrant with the Commission pursuant to Sections 13(a), 13(c), 14 and 15(d) of the Exchange Act (excluding information deemed to be furnished and not filed with the Commission) subsequent to the effective date of this Registration Statement and prior to the filing of a post-effective amendment that indicates that all securities offered have been sold or that deregisters all securities then remaining unsold, will be deemed to be incorporated by reference into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will not be deemed, except as modified or superseded, to constitute a part of this Registration Statement.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120" w:after="1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790"/>
                <wp:effectExtent l="0" t="0" r="0" b="0"/>
                <wp:wrapNone/>
                <wp:docPr id="2" name="Frame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txbxContent>
                </v:textbox>
                <w10:wrap type="none"/>
              </v:rect>
            </w:pict>
          </mc:Fallback>
        </mc:AlternateConten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Indemnification of Directors and Executive Officers.</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Section 102(b)(7) of the General Corporation Law of the State of Delaware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director, officer, employee or agent is adjudged to be liable to the corporation. Where a director or officer is successful on the merits or otherwise in the defense of any action referred to above, the corporation must indemnify him or her against the expenses which such director or officer has actually and reasonably incurred.</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have the power to indemnify him or her under Section 145.</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Registrant's amended and restated bylaws provide that the Registrant must indemnify its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Registrant has entered into indemnification agreements with its directors and certain of its officers pursuant to which it has agreed to indemnify such persons against certain expenses and liabilities incurred or paid by such persons in connection with any proceeding arising from the fact that such person is or was a director or officer of the Registrant, and to advance expenses as incurred by or on behalf of such person in connection therewith.</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indemnification rights set forth above shall not be exclusive of any other right which an indemnified person may have or hereafter acquire under any statute, provision of the Registrant's certificate of incorporation, bylaws, agreement, vote of stockholders or disinterested directors or otherwise.</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Registrant maintains policies of insurance that provide coverage (i) to its directors and officers against loss arising from claims made by reason of breach of duty or other wrongful act and (ii) to it with respect to indemnification payments that it may make to such directors and officers.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790"/>
                <wp:effectExtent l="0" t="0" r="0" b="0"/>
                <wp:wrapNone/>
                <wp:docPr id="3" name="Frame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7"/>
        <w:gridCol w:w="297"/>
        <w:gridCol w:w="298"/>
        <w:gridCol w:w="2787"/>
        <w:gridCol w:w="2714"/>
        <w:gridCol w:w="3772"/>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color w:val="000000"/>
                <w:sz w:val="16"/>
              </w:rPr>
            </w:pPr>
            <w:r>
              <w:rPr>
                <w:rFonts w:ascii="Times New Roman;serif" w:hAnsi="Times New Roman;serif"/>
                <w:b/>
                <w:color w:val="000000"/>
                <w:sz w:val="16"/>
              </w:rPr>
              <w:t>Exhibit Number</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3.3 to the Registrant's Registration Statement on Form S-1, as amended, filed June 12, 2007 (File No. 333-141740))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100"/>
              <w:jc w:val="both"/>
              <w:rPr/>
            </w:pPr>
            <w:hyperlink r:id="rId3">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4.2 to the Registrant's Registration Statement on Form S-8, filed June 4, 2018 (File No. 333-225400))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4">
              <w:r>
                <w:rPr>
                  <w:rStyle w:val="InternetLink"/>
                  <w:rFonts w:ascii="Times New Roman;serif" w:hAnsi="Times New Roman;serif"/>
                  <w:b w:val="false"/>
                  <w:color w:val="0000FF"/>
                  <w:sz w:val="20"/>
                  <w:u w:val="single"/>
                </w:rPr>
                <w:t>Certificate of Amendment of Amended and Restated Certificate of Incorporation of the Registrant, dated March 10, 2021 (incorporated by reference to Exhibit 3.1 to the Registrant's Current Report on Form 8-K, filed March 15, 2021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5">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filed June 22, 2023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6">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filed December 27, 2023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7">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filed June 24, 2025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8">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3.2 to the Registrant's Current Report on Form 8-K, filed December 31, 2025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4.8</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9">
              <w:r>
                <w:rPr>
                  <w:rStyle w:val="InternetLink"/>
                  <w:rFonts w:ascii="Times New Roman;serif" w:hAnsi="Times New Roman;serif"/>
                  <w:b w:val="false"/>
                  <w:color w:val="0000FF"/>
                  <w:sz w:val="20"/>
                  <w:u w:val="single"/>
                </w:rPr>
                <w:t>Certificate of Designations of Series C Convertible Preferred Stock, par value $0.001, of the Registrant (incorporated by reference to Exhibit 3.3 to the Registrant's Current Report on Form 8-K, filed December 31, 2025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4.9</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10">
              <w:r>
                <w:rPr>
                  <w:rStyle w:val="InternetLink"/>
                  <w:rFonts w:ascii="Times New Roman;serif" w:hAnsi="Times New Roman;serif"/>
                  <w:b w:val="false"/>
                  <w:color w:val="0000FF"/>
                  <w:sz w:val="20"/>
                  <w:u w:val="single"/>
                </w:rPr>
                <w:t>Amended and Restated Bylaws of the Registrant (incorporated by reference to Exhibit 3.2 to the Registrant's Quarterly Report on Form 10-Q for the period ended June 30, 2018, filed August 10, 2018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5.1*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w:anchor="exhibit51-opinionofvinsone.htm">
              <w:r>
                <w:rPr>
                  <w:rStyle w:val="InternetLink"/>
                  <w:rFonts w:ascii="Times New Roman;serif" w:hAnsi="Times New Roman;serif"/>
                  <w:b w:val="false"/>
                  <w:color w:val="0000FF"/>
                  <w:sz w:val="20"/>
                  <w:u w:val="single"/>
                </w:rPr>
                <w:t>Opinion of Vinson &amp; Elkins LLP</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w:anchor="exhibit231-consentofindepe.htm">
              <w:r>
                <w:rPr>
                  <w:rStyle w:val="InternetLink"/>
                  <w:rFonts w:ascii="Times New Roman;serif" w:hAnsi="Times New Roman;serif"/>
                  <w:b w:val="false"/>
                  <w:color w:val="0000FF"/>
                  <w:sz w:val="20"/>
                  <w:u w:val="single"/>
                </w:rPr>
                <w:t>Consent of Deloitte &amp; Touche LLP</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Consent of Vinson &amp; Elkins LLP (included in Exhibit 5.1 to this Registration Statement)</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24.1*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Power of Attorney (included in the signature page of this Registration Statement)</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11">
              <w:r>
                <w:rPr>
                  <w:rStyle w:val="InternetLink"/>
                  <w:rFonts w:ascii="Times New Roman;serif" w:hAnsi="Times New Roman;serif"/>
                  <w:b w:val="false"/>
                  <w:color w:val="0000FF"/>
                  <w:sz w:val="20"/>
                  <w:u w:val="single"/>
                </w:rPr>
                <w:t>comScore, Inc. 2018 Equity and Incentive Compensation Plan, as amended and restated effective as of July 9, 2020 (incorporated by reference to Exhibit 10.1 to the Registrant's Current Report on Form 8-K, filed July 15, 2020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99.2</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"https://www.sec.gov/Archives/edgar/data/1158172/000119312522133572/d282648ddef14a.htm" \l "toc282648_38"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First Amendment to the comScore, Inc. Amended and Restated 2018 Equity and Incentive Compensation Plan (incorporated by reference to Annex A to the Registrant's Definitive Proxy Statement on Schedule 14A, filed April 29, 2022 (File No. 001-33520))</w:t>
            </w:r>
            <w:r>
              <w:rPr>
                <w:rStyle w:val="InternetLink"/>
                <w:sz w:val="20"/>
                <w:u w:val="single"/>
                <w:b w:val="false"/>
                <w:rFonts w:ascii="Times New Roman;serif" w:hAnsi="Times New Roman;serif"/>
                <w:color w:val="0000FF"/>
              </w:rPr>
              <w:fldChar w:fldCharType="end"/>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99.3</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"https://www.sec.gov/Archives/edgar/data/1158172/000119312523126893/d399310ddef14a.htm" \l "tx399310_40"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Second Amendment to the comScore, Inc. Amended and Restated 2018 Equity and Incentive Compensation Plan (incorporated by reference to Annex A to the Registrant's Definitive Proxy Statement on Schedule 14A, filed April 28, 2023 (File No. 001-33520))</w:t>
            </w:r>
            <w:r>
              <w:rPr>
                <w:rStyle w:val="InternetLink"/>
                <w:sz w:val="20"/>
                <w:u w:val="single"/>
                <w:b w:val="false"/>
                <w:rFonts w:ascii="Times New Roman;serif" w:hAnsi="Times New Roman;serif"/>
                <w:color w:val="0000FF"/>
              </w:rPr>
              <w:fldChar w:fldCharType="end"/>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99.4</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12">
              <w:r>
                <w:rPr>
                  <w:rStyle w:val="InternetLink"/>
                  <w:rFonts w:ascii="Times New Roman;serif" w:hAnsi="Times New Roman;serif"/>
                  <w:b w:val="false"/>
                  <w:color w:val="0000FF"/>
                  <w:sz w:val="20"/>
                  <w:u w:val="single"/>
                </w:rPr>
                <w:t>Third Amendment to the comScore, Inc. Amended and Restated 2018 Equity and Incentive Compensation Plan (incorporated by reference to Exhibit 10.1 to the Registrant's Current Report on Form 8-K, filed December 27, 2023 (File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99.5</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"https://www.sec.gov/Archives/edgar/data/1158172/000119312524122246/d714276ddef14a.htm" \l "rom714276_38"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Fourth Amendment to the comScore, Inc. Amended and Restated 2018 Equity and Incentive Compensation Plan (incorporated by reference to Annex A to the Registrant's Definitive Proxy Statement on Schedule 14A, filed April 29, 2024 (File No. 001-33520))</w:t>
            </w:r>
            <w:r>
              <w:rPr>
                <w:rStyle w:val="InternetLink"/>
                <w:sz w:val="20"/>
                <w:u w:val="single"/>
                <w:b w:val="false"/>
                <w:rFonts w:ascii="Times New Roman;serif" w:hAnsi="Times New Roman;serif"/>
                <w:color w:val="0000FF"/>
              </w:rPr>
              <w:fldChar w:fldCharType="end"/>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99.6</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r>
              <w:fldChar w:fldCharType="begin"/>
            </w:r>
            <w:r>
              <w:rPr>
                <w:rStyle w:val="InternetLink"/>
                <w:sz w:val="20"/>
                <w:u w:val="single"/>
                <w:b w:val="false"/>
                <w:rFonts w:ascii="Times New Roman;serif" w:hAnsi="Times New Roman;serif"/>
                <w:color w:val="0000FF"/>
              </w:rPr>
              <w:instrText xml:space="preserve"> HYPERLINK "https://www.sec.gov/ix?doc=/Archives/edgar/data/1158172/000119312525107113/d877352ddef14a.htm" \l "rom877352_38"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Fifth Amendment to the comScore, Inc. Amended and Restated 2018 Equity and Incentive Compensation Plan (incorporated by reference to Annex A to the Registrant's Definitive Proxy Statement on Schedule 14A, filed April 30, 2025 (File No. 001-33520))</w:t>
            </w:r>
            <w:r>
              <w:rPr>
                <w:rStyle w:val="InternetLink"/>
                <w:sz w:val="20"/>
                <w:u w:val="single"/>
                <w:b w:val="false"/>
                <w:rFonts w:ascii="Times New Roman;serif" w:hAnsi="Times New Roman;serif"/>
                <w:color w:val="0000FF"/>
              </w:rPr>
              <w:fldChar w:fldCharType="end"/>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99.7</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13">
              <w:r>
                <w:rPr>
                  <w:rStyle w:val="InternetLink"/>
                  <w:rFonts w:ascii="Times New Roman;serif" w:hAnsi="Times New Roman;serif"/>
                  <w:b w:val="false"/>
                  <w:color w:val="000080"/>
                  <w:sz w:val="20"/>
                  <w:u w:val="single"/>
                </w:rPr>
                <w:t>Sixth</w:t>
              </w:r>
            </w:hyperlink>
            <w:hyperlink r:id="rId14">
              <w:r>
                <w:rPr>
                  <w:rStyle w:val="InternetLink"/>
                  <w:rFonts w:ascii="Times New Roman;serif" w:hAnsi="Times New Roman;serif"/>
                  <w:b w:val="false"/>
                  <w:color w:val="000080"/>
                  <w:sz w:val="20"/>
                  <w:u w:val="single"/>
                </w:rPr>
                <w:t xml:space="preserve"> Amendment to the comScore, Inc. Amended and Restated 2018 Equity and Incentive Compensation Plan (incorporated by reference to </w:t>
              </w:r>
            </w:hyperlink>
            <w:hyperlink r:id="rId15">
              <w:r>
                <w:rPr>
                  <w:rStyle w:val="InternetLink"/>
                  <w:rFonts w:ascii="Times New Roman;serif" w:hAnsi="Times New Roman;serif"/>
                  <w:b w:val="false"/>
                  <w:color w:val="000080"/>
                  <w:sz w:val="20"/>
                  <w:u w:val="single"/>
                </w:rPr>
                <w:t>Exhibit 10.1 to the Re</w:t>
              </w:r>
            </w:hyperlink>
            <w:hyperlink r:id="rId16">
              <w:r>
                <w:rPr>
                  <w:rStyle w:val="InternetLink"/>
                  <w:rFonts w:ascii="Times New Roman;serif" w:hAnsi="Times New Roman;serif"/>
                  <w:b w:val="false"/>
                  <w:color w:val="000080"/>
                  <w:sz w:val="20"/>
                  <w:u w:val="single"/>
                </w:rPr>
                <w:t>gistrant's Quarterly Report on Form 10-Q</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 xml:space="preserve"> filed</w:t>
              </w:r>
            </w:hyperlink>
            <w:hyperlink r:id="rId19">
              <w:r>
                <w:rPr>
                  <w:rStyle w:val="InternetLink"/>
                  <w:rFonts w:ascii="Times New Roman;serif" w:hAnsi="Times New Roman;serif"/>
                  <w:b w:val="false"/>
                  <w:color w:val="000080"/>
                  <w:sz w:val="20"/>
                  <w:u w:val="single"/>
                </w:rPr>
                <w:t xml:space="preserve"> Aug</w:t>
              </w:r>
            </w:hyperlink>
            <w:hyperlink r:id="rId20">
              <w:r>
                <w:rPr>
                  <w:rStyle w:val="InternetLink"/>
                  <w:rFonts w:ascii="Times New Roman;serif" w:hAnsi="Times New Roman;serif"/>
                  <w:b w:val="false"/>
                  <w:color w:val="000080"/>
                  <w:sz w:val="20"/>
                  <w:u w:val="single"/>
                </w:rPr>
                <w:t xml:space="preserve">ust 14, 2026 </w:t>
              </w:r>
            </w:hyperlink>
            <w:hyperlink r:id="rId21">
              <w:r>
                <w:rPr>
                  <w:rStyle w:val="InternetLink"/>
                  <w:rFonts w:ascii="Times New Roman;serif" w:hAnsi="Times New Roman;serif"/>
                  <w:b w:val="false"/>
                  <w:color w:val="000080"/>
                  <w:sz w:val="20"/>
                  <w:u w:val="single"/>
                </w:rPr>
                <w:t>(File No. 001-33520))</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99.8*</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w:anchor="exhibit998-employmentinduc.htm">
              <w:r>
                <w:rPr>
                  <w:rStyle w:val="InternetLink"/>
                  <w:rFonts w:ascii="Times New Roman;serif" w:hAnsi="Times New Roman;serif"/>
                  <w:b w:val="false"/>
                  <w:color w:val="0000FF"/>
                  <w:sz w:val="20"/>
                  <w:u w:val="single"/>
                </w:rPr>
                <w:t>comScore, Inc. Employment Inducement Plan</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107.1*</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w:anchor="exfilingfees107.htm">
              <w:r>
                <w:rPr>
                  <w:rStyle w:val="InternetLink"/>
                  <w:rFonts w:ascii="Times New Roman;serif" w:hAnsi="Times New Roman;serif"/>
                  <w:b w:val="false"/>
                  <w:color w:val="0000FF"/>
                  <w:sz w:val="20"/>
                  <w:u w:val="single"/>
                </w:rPr>
                <w:t>Calculation of Filing Fee Tables</w:t>
              </w:r>
            </w:hyperlink>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before="120" w:after="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790"/>
                <wp:effectExtent l="0" t="0" r="0" b="0"/>
                <wp:wrapNone/>
                <wp:docPr id="4" name="Frame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txbxContent>
                </v:textbox>
                <w10:wrap type="none"/>
              </v:rect>
            </w:pict>
          </mc:Fallback>
        </mc:AlternateContent>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the Registration Statement: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 in the effective registration statement; and</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2"/>
        <w:jc w:val="left"/>
        <w:rPr/>
      </w:pPr>
      <w:r>
        <w:rPr/>
      </w:r>
    </w:p>
    <w:p>
      <w:pPr>
        <w:pStyle w:val="TextBody"/>
        <w:bidi w:val="0"/>
        <w:spacing w:lineRule="auto" w:line="288" w:before="0" w:after="2"/>
        <w:jc w:val="both"/>
        <w:rPr/>
      </w:pP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790"/>
                <wp:effectExtent l="0" t="0" r="0" b="0"/>
                <wp:wrapNone/>
                <wp:docPr id="5" name="Frame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Reston, Virginia, on August 19, 2026.</w:t>
      </w:r>
    </w:p>
    <w:tbl>
      <w:tblPr>
        <w:tblW w:w="4118" w:type="dxa"/>
        <w:jc w:val="left"/>
        <w:tblInd w:w="0" w:type="dxa"/>
        <w:tblLayout w:type="fixed"/>
        <w:tblCellMar>
          <w:top w:w="28" w:type="dxa"/>
          <w:left w:w="28" w:type="dxa"/>
          <w:bottom w:w="28" w:type="dxa"/>
          <w:right w:w="28" w:type="dxa"/>
        </w:tblCellMar>
      </w:tblPr>
      <w:tblGrid>
        <w:gridCol w:w="124"/>
        <w:gridCol w:w="109"/>
        <w:gridCol w:w="109"/>
        <w:gridCol w:w="233"/>
        <w:gridCol w:w="197"/>
        <w:gridCol w:w="200"/>
        <w:gridCol w:w="334"/>
        <w:gridCol w:w="334"/>
        <w:gridCol w:w="334"/>
        <w:gridCol w:w="334"/>
        <w:gridCol w:w="334"/>
        <w:gridCol w:w="334"/>
        <w:gridCol w:w="334"/>
        <w:gridCol w:w="334"/>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2"/>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COMSCORE,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46" w:type="dxa"/>
            <w:gridSpan w:val="9"/>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0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Mary Margaret Curry and Ashley Wright each as his or her attorney-in-fact, with full power of substitution for him or her in any and all capacities, to sign any amendments to this Registration Statement, including any and all pre-effective and post-effective amendments and to file such amendments thereto, with exhibits thereto and other documents in connection therewith, with the Commission, hereby ratifying and confirming all that said attorney-in-fact, or each of her substitute or substitutes, may do or cause to be done by virtue hereof.</w:t>
      </w:r>
    </w:p>
    <w:p>
      <w:pPr>
        <w:pStyle w:val="TextBody"/>
        <w:bidi w:val="0"/>
        <w:spacing w:lineRule="auto" w:line="288" w:before="100" w:after="283"/>
        <w:ind w:left="0" w:right="0" w:firstLine="24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indicated on August 19, 2026.</w:t>
      </w:r>
    </w:p>
    <w:tbl>
      <w:tblPr>
        <w:tblW w:w="7556"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1498"/>
        <w:gridCol w:w="1498"/>
        <w:gridCol w:w="214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Title</w:t>
            </w:r>
          </w:p>
        </w:tc>
      </w:tr>
      <w:tr>
        <w:trPr/>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Matt McLaughlin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Matt McLaughlin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Mary Margaret Curry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Mary Margaret Curry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Robert Davenport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Robert Davenport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Stuart Frankel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Stuart Frankel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David Kline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David Kline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William P. Livek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William P. Livek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Jeffrey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Jeffrey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 Brian Wendling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Brian Wendling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filingfees107.htm"/>
      <w:bookmarkStart w:id="1" w:name="ksexfilingfees107"/>
      <w:bookmarkStart w:id="2" w:name="exfilingfees107.htm"/>
      <w:bookmarkStart w:id="3" w:name="ksexfilingfees107"/>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790"/>
                <wp:effectExtent l="0" t="0" r="0" b="0"/>
                <wp:wrapNone/>
                <wp:docPr id="6" name="Frame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txbxContent>
                </v:textbox>
                <w10:wrap type="none"/>
              </v:rect>
            </w:pict>
          </mc:Fallback>
        </mc:AlternateContent>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COMSCORE,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5"/>
        <w:gridCol w:w="1292"/>
        <w:gridCol w:w="1201"/>
        <w:gridCol w:w="1214"/>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5"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4,000,000 </w:t>
            </w:r>
          </w:p>
        </w:tc>
        <w:tc>
          <w:tcPr>
            <w:tcW w:w="1214" w:type="dxa"/>
            <w:tcBorders/>
            <w:shd w:fill="E7E7E2" w:val="clear"/>
            <w:vAlign w:val="center"/>
          </w:tcPr>
          <w:p>
            <w:pPr>
              <w:pStyle w:val="TableContents"/>
              <w:bidi w:val="0"/>
              <w:spacing w:before="0" w:after="283"/>
              <w:jc w:val="right"/>
              <w:rPr/>
            </w:pPr>
            <w:r>
              <w:rPr/>
              <w:t xml:space="preserve">$ 5.51 </w:t>
            </w:r>
          </w:p>
        </w:tc>
        <w:tc>
          <w:tcPr>
            <w:tcW w:w="1701" w:type="dxa"/>
            <w:tcBorders/>
            <w:shd w:fill="E7E7E2" w:val="clear"/>
            <w:vAlign w:val="center"/>
          </w:tcPr>
          <w:p>
            <w:pPr>
              <w:pStyle w:val="TableContents"/>
              <w:bidi w:val="0"/>
              <w:spacing w:before="0" w:after="283"/>
              <w:jc w:val="right"/>
              <w:rPr/>
            </w:pPr>
            <w:r>
              <w:rPr/>
              <w:t xml:space="preserve">$ 22,040,000.00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$ 3,043.72 </w:t>
            </w:r>
          </w:p>
        </w:tc>
      </w:tr>
      <w:tr>
        <w:trPr/>
        <w:tc>
          <w:tcPr>
            <w:tcW w:w="4735"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4" w:name="MaxAggtOfferingPrice"/>
            <w:bookmarkEnd w:id="4"/>
            <w:r>
              <w:rPr/>
              <w:t xml:space="preserve">$ 22,040,000.00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$ 3,043.72 </w:t>
            </w:r>
          </w:p>
        </w:tc>
      </w:tr>
      <w:tr>
        <w:trPr/>
        <w:tc>
          <w:tcPr>
            <w:tcW w:w="4735"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5"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$ 3,043.72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The Form S-8 registration statement to which this Exhibit 107.1 is attached (the "Registration Statement") registers (a) 3,000,000 additional shares of common stock, $0.001 par value per share (the "Common Stock"), of comScore, Inc., a Delaware corporation, that may be delivered with respect to awards under the comScore, Inc. Amended and Restated 2018 Equity and Incentive Compensation Plan (as amended from time to time, the "Plan") and (b) 1,000,000 shares of Common Stock that may be delivered with respect to awards under the comScore, Inc. Employment Inducement Plan (as amended from time to time, the "Inducement Plan"). (2) Pursuant to Rule 416(a) under the Securities Act of 1933, as amended (the "Securities Act"), the Registration Statement shall be deemed to cover an indeterminate number of additional shares of Common Stock that may become issuable as a result of stock splits, stock dividends or similar transactions pursuant to the adjustment or anti-dilution provisions of the Plan or the Inducement Plan. (3) The proposed maximum offering price per share and proposed maximum aggregate offering price for the shares of Common Stock covered by this Registration Statement have been estimated solely for purposes of calculating the registration fee pursuant to Rules 457(c) and 457(h) under the Securities Act based upon the average of the high and low prices of a share of Common Stock as reported on the Nasdaq Global Select Market on August 18, 2026 (a date within five business days prior to the date of filing the Registration Statement), which was equal to $5.51.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16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300" w:before="0" w:after="240"/>
        <w:jc w:val="left"/>
        <w:rPr/>
      </w:pPr>
      <w:r>
        <w:rPr/>
        <w:drawing>
          <wp:inline distT="0" distB="0" distL="0" distR="0">
            <wp:extent cx="1828800" cy="2190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2"/>
                    <a:stretch>
                      <a:fillRect/>
                    </a:stretch>
                  </pic:blipFill>
                  <pic:spPr bwMode="auto">
                    <a:xfrm>
                      <a:off x="0" y="0"/>
                      <a:ext cx="1828800" cy="2190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19, 2026</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comScore, Inc.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11950 Democracy Drive, Suite 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Reston, Virginia 20190</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40" w:before="200" w:after="283"/>
        <w:ind w:left="0" w:right="0" w:firstLine="245"/>
        <w:jc w:val="both"/>
        <w:rPr/>
      </w:pPr>
      <w:r>
        <w:rPr>
          <w:rFonts w:ascii="Times New Roman;serif" w:hAnsi="Times New Roman;serif"/>
          <w:b w:val="false"/>
          <w:color w:val="000000"/>
          <w:sz w:val="22"/>
        </w:rPr>
        <w:t>We have acted as counsel for comScore, Inc., a Delaware corporation (the "</w:t>
      </w:r>
      <w:r>
        <w:rPr>
          <w:rFonts w:ascii="Times New Roman;serif" w:hAnsi="Times New Roman;serif"/>
          <w:b w:val="false"/>
          <w:color w:val="000000"/>
          <w:sz w:val="22"/>
          <w:u w:val="single"/>
        </w:rPr>
        <w:t>Company"</w:t>
      </w:r>
      <w:r>
        <w:rPr>
          <w:rFonts w:ascii="Times New Roman;serif" w:hAnsi="Times New Roman;serif"/>
          <w:b w:val="false"/>
          <w:color w:val="000000"/>
          <w:sz w:val="22"/>
        </w:rPr>
        <w:t>), in connection with the Company's registration under the Securities Act of 1933, as amended (the "</w:t>
      </w:r>
      <w:r>
        <w:rPr>
          <w:rFonts w:ascii="Times New Roman;serif" w:hAnsi="Times New Roman;serif"/>
          <w:b w:val="false"/>
          <w:color w:val="000000"/>
          <w:sz w:val="22"/>
          <w:u w:val="single"/>
        </w:rPr>
        <w:t>Act</w:t>
      </w:r>
      <w:r>
        <w:rPr>
          <w:rFonts w:ascii="Times New Roman;serif" w:hAnsi="Times New Roman;serif"/>
          <w:b w:val="false"/>
          <w:color w:val="000000"/>
          <w:sz w:val="22"/>
        </w:rPr>
        <w:t>"), of the offer and sale of 4,000,000 shares of the Company's common stock, par value $0.001 per share (the "</w:t>
      </w:r>
      <w:r>
        <w:rPr>
          <w:rFonts w:ascii="Times New Roman;serif" w:hAnsi="Times New Roman;serif"/>
          <w:b w:val="false"/>
          <w:color w:val="000000"/>
          <w:sz w:val="22"/>
          <w:u w:val="single"/>
        </w:rPr>
        <w:t>Shares</w:t>
      </w:r>
      <w:r>
        <w:rPr>
          <w:rFonts w:ascii="Times New Roman;serif" w:hAnsi="Times New Roman;serif"/>
          <w:b w:val="false"/>
          <w:color w:val="000000"/>
          <w:sz w:val="22"/>
        </w:rPr>
        <w:t>"), pursuant to the Company's registration statement on Form S-8 (the "</w:t>
      </w:r>
      <w:r>
        <w:rPr>
          <w:rFonts w:ascii="Times New Roman;serif" w:hAnsi="Times New Roman;serif"/>
          <w:b w:val="false"/>
          <w:color w:val="000000"/>
          <w:sz w:val="22"/>
          <w:u w:val="single"/>
        </w:rPr>
        <w:t>Registration Statement</w:t>
      </w:r>
      <w:r>
        <w:rPr>
          <w:rFonts w:ascii="Times New Roman;serif" w:hAnsi="Times New Roman;serif"/>
          <w:b w:val="false"/>
          <w:color w:val="000000"/>
          <w:sz w:val="22"/>
        </w:rPr>
        <w:t>") to be filed with the Securities and Exchange Commission on August 19, 2026, of which (i) 3,000,000 Shares may be issued from time to time in accordance with the terms of the comScore, Inc. Amended and Restated 2018 Equity and Incentive Compensation Plan (as amended from time to time, the "</w:t>
      </w:r>
      <w:r>
        <w:rPr>
          <w:rFonts w:ascii="Times New Roman;serif" w:hAnsi="Times New Roman;serif"/>
          <w:b w:val="false"/>
          <w:color w:val="000000"/>
          <w:sz w:val="22"/>
          <w:u w:val="single"/>
        </w:rPr>
        <w:t>Plan</w:t>
      </w:r>
      <w:r>
        <w:rPr>
          <w:rFonts w:ascii="Times New Roman;serif" w:hAnsi="Times New Roman;serif"/>
          <w:b w:val="false"/>
          <w:color w:val="000000"/>
          <w:sz w:val="22"/>
        </w:rPr>
        <w:t>") and (ii) 1,000,000 Shares may be issued from time to time in accordance with the terms of the comScore, Inc. Employment Inducement Plan (the "</w:t>
      </w:r>
      <w:r>
        <w:rPr>
          <w:rFonts w:ascii="Times New Roman;serif" w:hAnsi="Times New Roman;serif"/>
          <w:b w:val="false"/>
          <w:color w:val="000000"/>
          <w:sz w:val="22"/>
          <w:u w:val="single"/>
        </w:rPr>
        <w:t>Inducement Plan</w:t>
      </w:r>
      <w:r>
        <w:rPr>
          <w:rFonts w:ascii="Times New Roman;serif" w:hAnsi="Times New Roman;serif"/>
          <w:b w:val="false"/>
          <w:color w:val="000000"/>
          <w:sz w:val="22"/>
        </w:rPr>
        <w:t>").</w:t>
      </w:r>
    </w:p>
    <w:p>
      <w:pPr>
        <w:pStyle w:val="TextBody"/>
        <w:bidi w:val="0"/>
        <w:spacing w:lineRule="auto" w:line="240" w:before="200" w:after="283"/>
        <w:ind w:left="0" w:right="0" w:firstLine="245"/>
        <w:jc w:val="both"/>
        <w:rPr>
          <w:rFonts w:ascii="Times New Roman;serif" w:hAnsi="Times New Roman;serif"/>
          <w:b w:val="false"/>
          <w:color w:val="000000"/>
          <w:sz w:val="22"/>
        </w:rPr>
      </w:pPr>
      <w:r>
        <w:rPr>
          <w:rFonts w:ascii="Times New Roman;serif" w:hAnsi="Times New Roman;serif"/>
          <w:b w:val="false"/>
          <w:color w:val="000000"/>
          <w:sz w:val="22"/>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the Inducement Plan, and (iv) such other certificates, instruments, and documents as we have considered necessary for purposes of this opinion.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pStyle w:val="TextBody"/>
        <w:bidi w:val="0"/>
        <w:spacing w:lineRule="auto" w:line="240" w:before="200" w:after="283"/>
        <w:ind w:left="0" w:right="0" w:firstLine="245"/>
        <w:jc w:val="both"/>
        <w:rPr>
          <w:rFonts w:ascii="Times New Roman;serif" w:hAnsi="Times New Roman;serif"/>
          <w:b w:val="false"/>
          <w:color w:val="000000"/>
          <w:sz w:val="22"/>
        </w:rPr>
      </w:pPr>
      <w:r>
        <w:rPr>
          <w:rFonts w:ascii="Times New Roman;serif" w:hAnsi="Times New Roman;serif"/>
          <w:b w:val="false"/>
          <w:color w:val="000000"/>
          <w:sz w:val="22"/>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 or the Inducement Plan, as applicable.</w:t>
      </w:r>
    </w:p>
    <w:p>
      <w:pPr>
        <w:pStyle w:val="TextBody"/>
        <w:bidi w:val="0"/>
        <w:spacing w:lineRule="auto" w:line="240" w:before="200" w:after="283"/>
        <w:ind w:left="0" w:right="0" w:firstLine="245"/>
        <w:jc w:val="both"/>
        <w:rPr>
          <w:rFonts w:ascii="Times New Roman;serif" w:hAnsi="Times New Roman;serif"/>
          <w:b w:val="false"/>
          <w:color w:val="000000"/>
          <w:sz w:val="22"/>
        </w:rPr>
      </w:pPr>
      <w:r>
        <w:rPr>
          <w:rFonts w:ascii="Times New Roman;serif" w:hAnsi="Times New Roman;serif"/>
          <w:b w:val="false"/>
          <w:color w:val="000000"/>
          <w:sz w:val="22"/>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or the Inducement Plan and the instruments executed pursuant to the Plan or the Inducement Plan, as applicable, the Shares will be validly issued, fully paid and nonassessable.</w:t>
      </w:r>
    </w:p>
    <w:p>
      <w:pPr>
        <w:pStyle w:val="TextBody"/>
        <w:bidi w:val="0"/>
        <w:spacing w:lineRule="auto" w:line="240" w:before="200" w:after="283"/>
        <w:ind w:left="0" w:right="0" w:firstLine="245"/>
        <w:jc w:val="both"/>
        <w:rPr>
          <w:rFonts w:ascii="Times New Roman;serif" w:hAnsi="Times New Roman;serif"/>
          <w:b w:val="false"/>
          <w:color w:val="000000"/>
          <w:sz w:val="22"/>
        </w:rPr>
      </w:pPr>
      <w:r>
        <w:rPr>
          <w:rFonts w:ascii="Times New Roman;serif" w:hAnsi="Times New Roman;serif"/>
          <w:b w:val="false"/>
          <w:color w:val="000000"/>
          <w:sz w:val="22"/>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pStyle w:val="TextBody"/>
        <w:bidi w:val="0"/>
        <w:spacing w:lineRule="auto" w:line="240" w:before="200" w:after="283"/>
        <w:ind w:left="0" w:right="0" w:firstLine="245"/>
        <w:jc w:val="both"/>
        <w:rPr>
          <w:rFonts w:ascii="Times New Roman;serif" w:hAnsi="Times New Roman;serif"/>
          <w:b w:val="false"/>
          <w:color w:val="000000"/>
          <w:sz w:val="22"/>
        </w:rPr>
      </w:pPr>
      <w:r>
        <w:rPr>
          <w:rFonts w:ascii="Times New Roman;serif" w:hAnsi="Times New Roman;serif"/>
          <w:b w:val="false"/>
          <w:color w:val="000000"/>
          <w:sz w:val="22"/>
        </w:rPr>
        <w:t>This opinion may be filed as an exhibit to the Registration Statement. In giving this consent, we do not thereby admit that we come within the category of persons whose consent is required under Section 7 of the Act.</w:t>
      </w:r>
    </w:p>
    <w:p>
      <w:pPr>
        <w:pStyle w:val="TextBody"/>
        <w:bidi w:val="0"/>
        <w:spacing w:lineRule="auto" w:line="288" w:before="48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240" w:after="283"/>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/s/ Vinson &amp; Elkins LLP</w:t>
      </w:r>
    </w:p>
    <w:p>
      <w:pPr>
        <w:pStyle w:val="TextBody"/>
        <w:bidi w:val="0"/>
        <w:spacing w:lineRule="auto" w:line="300"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Vinson &amp; Elkins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14730"/>
                <wp:effectExtent l="0" t="0" r="0" b="0"/>
                <wp:wrapNone/>
                <wp:docPr id="8" name="Frame7"/>
                <a:graphic xmlns:a="http://schemas.openxmlformats.org/drawingml/2006/main">
                  <a:graphicData uri="http://schemas.microsoft.com/office/word/2010/wordprocessingShape">
                    <wps:wsp>
                      <wps:cNvSpPr txBox="1"/>
                      <wps:spPr>
                        <a:xfrm>
                          <a:off x="0" y="0"/>
                          <a:ext cx="6480175" cy="1014730"/>
                        </a:xfrm>
                        <a:prstGeom prst="rect"/>
                        <a:solidFill>
                          <a:srgbClr val="FFFFFF"/>
                        </a:solidFill>
                      </wps:spPr>
                      <wps:txbx>
                        <w:txbxContent>
                          <w:tbl>
                            <w:tblPr>
                              <w:tblW w:w="8999" w:type="dxa"/>
                              <w:jc w:val="left"/>
                              <w:tblInd w:w="0" w:type="dxa"/>
                              <w:tblLayout w:type="fixed"/>
                              <w:tblCellMar>
                                <w:top w:w="28" w:type="dxa"/>
                                <w:left w:w="28" w:type="dxa"/>
                                <w:bottom w:w="28" w:type="dxa"/>
                                <w:right w:w="28" w:type="dxa"/>
                              </w:tblCellMar>
                            </w:tblPr>
                            <w:tblGrid>
                              <w:gridCol w:w="1839"/>
                              <w:gridCol w:w="1620"/>
                              <w:gridCol w:w="1625"/>
                              <w:gridCol w:w="1144"/>
                              <w:gridCol w:w="1144"/>
                              <w:gridCol w:w="1627"/>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376" w:before="0" w:after="0"/>
                                    <w:jc w:val="left"/>
                                    <w:rPr>
                                      <w:rFonts w:ascii="Arial;sans-serif" w:hAnsi="Arial;sans-serif"/>
                                      <w:b/>
                                      <w:color w:val="000000"/>
                                      <w:sz w:val="16"/>
                                    </w:rPr>
                                  </w:pPr>
                                  <w:r>
                                    <w:rPr>
                                      <w:rFonts w:ascii="Arial;sans-serif" w:hAnsi="Arial;sans-serif"/>
                                      <w:b/>
                                      <w:color w:val="000000"/>
                                      <w:sz w:val="16"/>
                                    </w:rPr>
                                    <w:t>Vinson &amp; Elkins LLP Attorneys at Law</w:t>
                                  </w:r>
                                </w:p>
                                <w:p>
                                  <w:pPr>
                                    <w:pStyle w:val="TableContents"/>
                                    <w:bidi w:val="0"/>
                                    <w:spacing w:lineRule="auto" w:line="376" w:before="0" w:after="0"/>
                                    <w:jc w:val="left"/>
                                    <w:rPr>
                                      <w:rFonts w:ascii="Arial;sans-serif" w:hAnsi="Arial;sans-serif"/>
                                      <w:b w:val="false"/>
                                      <w:color w:val="000000"/>
                                      <w:sz w:val="16"/>
                                    </w:rPr>
                                  </w:pPr>
                                  <w:r>
                                    <w:rPr>
                                      <w:rFonts w:ascii="Arial;sans-serif" w:hAnsi="Arial;sans-serif"/>
                                      <w:b w:val="false"/>
                                      <w:color w:val="000000"/>
                                      <w:sz w:val="16"/>
                                    </w:rPr>
                                    <w:t xml:space="preserve">Austin Brussels Dallas Denver Dubai Dublin Houston London </w:t>
                                  </w:r>
                                </w:p>
                                <w:p>
                                  <w:pPr>
                                    <w:pStyle w:val="TableContents"/>
                                    <w:bidi w:val="0"/>
                                    <w:spacing w:lineRule="auto" w:line="376" w:before="0" w:after="0"/>
                                    <w:jc w:val="left"/>
                                    <w:rPr>
                                      <w:rFonts w:ascii="Arial;sans-serif" w:hAnsi="Arial;sans-serif"/>
                                      <w:b w:val="false"/>
                                      <w:color w:val="000000"/>
                                      <w:sz w:val="16"/>
                                    </w:rPr>
                                  </w:pPr>
                                  <w:r>
                                    <w:rPr>
                                      <w:rFonts w:ascii="Arial;sans-serif" w:hAnsi="Arial;sans-serif"/>
                                      <w:b w:val="false"/>
                                      <w:color w:val="000000"/>
                                      <w:sz w:val="16"/>
                                    </w:rPr>
                                    <w:t>Los Angeles New York Richmond San Francisco Tokyo Washington</w:t>
                                  </w:r>
                                </w:p>
                              </w:tc>
                              <w:tc>
                                <w:tcPr>
                                  <w:tcW w:w="3915" w:type="dxa"/>
                                  <w:gridSpan w:val="3"/>
                                  <w:tcBorders/>
                                  <w:tcMar>
                                    <w:top w:w="0" w:type="dxa"/>
                                    <w:left w:w="0" w:type="dxa"/>
                                    <w:bottom w:w="0" w:type="dxa"/>
                                    <w:right w:w="0" w:type="dxa"/>
                                  </w:tcMar>
                                  <w:vAlign w:val="center"/>
                                </w:tcPr>
                                <w:p>
                                  <w:pPr>
                                    <w:pStyle w:val="TableContents"/>
                                    <w:bidi w:val="0"/>
                                    <w:spacing w:lineRule="auto" w:line="376" w:before="0" w:after="0"/>
                                    <w:jc w:val="left"/>
                                    <w:rPr>
                                      <w:rFonts w:ascii="Arial;sans-serif" w:hAnsi="Arial;sans-serif"/>
                                      <w:b w:val="false"/>
                                      <w:color w:val="000000"/>
                                      <w:sz w:val="14"/>
                                    </w:rPr>
                                  </w:pPr>
                                  <w:r>
                                    <w:rPr>
                                      <w:rFonts w:ascii="Arial;sans-serif" w:hAnsi="Arial;sans-serif"/>
                                      <w:b w:val="false"/>
                                      <w:color w:val="000000"/>
                                      <w:sz w:val="14"/>
                                    </w:rPr>
                                    <w:t>Texas Tower, 845 Texas Avenue, Suite 4700</w:t>
                                  </w:r>
                                </w:p>
                                <w:p>
                                  <w:pPr>
                                    <w:pStyle w:val="TableContents"/>
                                    <w:bidi w:val="0"/>
                                    <w:spacing w:lineRule="auto" w:line="376" w:before="0" w:after="0"/>
                                    <w:jc w:val="left"/>
                                    <w:rPr>
                                      <w:rFonts w:ascii="Arial;sans-serif" w:hAnsi="Arial;sans-serif"/>
                                      <w:b w:val="false"/>
                                      <w:color w:val="000000"/>
                                      <w:sz w:val="14"/>
                                    </w:rPr>
                                  </w:pPr>
                                  <w:r>
                                    <w:rPr>
                                      <w:rFonts w:ascii="Arial;sans-serif" w:hAnsi="Arial;sans-serif"/>
                                      <w:b w:val="false"/>
                                      <w:color w:val="000000"/>
                                      <w:sz w:val="14"/>
                                    </w:rPr>
                                    <w:t xml:space="preserve">Houston, TX 77002 </w:t>
                                  </w:r>
                                </w:p>
                                <w:p>
                                  <w:pPr>
                                    <w:pStyle w:val="TableContents"/>
                                    <w:bidi w:val="0"/>
                                    <w:spacing w:lineRule="auto" w:line="376" w:before="0" w:after="0"/>
                                    <w:jc w:val="left"/>
                                    <w:rPr/>
                                  </w:pPr>
                                  <w:r>
                                    <w:rPr>
                                      <w:rFonts w:ascii="Arial;sans-serif" w:hAnsi="Arial;sans-serif"/>
                                      <w:b/>
                                      <w:color w:val="000000"/>
                                      <w:sz w:val="14"/>
                                    </w:rPr>
                                    <w:t>Tel</w:t>
                                  </w:r>
                                  <w:r>
                                    <w:rPr>
                                      <w:color w:val="000000"/>
                                    </w:rPr>
                                    <w:t xml:space="preserve"> </w:t>
                                  </w:r>
                                  <w:r>
                                    <w:rPr>
                                      <w:rFonts w:ascii="Arial;sans-serif" w:hAnsi="Arial;sans-serif"/>
                                      <w:b w:val="false"/>
                                      <w:color w:val="000000"/>
                                      <w:sz w:val="14"/>
                                    </w:rPr>
                                    <w:t xml:space="preserve">+1.713.758.2222 </w:t>
                                  </w:r>
                                  <w:r>
                                    <w:rPr>
                                      <w:rFonts w:ascii="Arial;sans-serif" w:hAnsi="Arial;sans-serif"/>
                                      <w:b/>
                                      <w:color w:val="000000"/>
                                      <w:sz w:val="14"/>
                                    </w:rPr>
                                    <w:t>Fax</w:t>
                                  </w:r>
                                  <w:r>
                                    <w:rPr>
                                      <w:color w:val="000000"/>
                                    </w:rPr>
                                    <w:t xml:space="preserve"> </w:t>
                                  </w:r>
                                  <w:r>
                                    <w:rPr>
                                      <w:rFonts w:ascii="Arial;sans-serif" w:hAnsi="Arial;sans-serif"/>
                                      <w:b w:val="false"/>
                                      <w:color w:val="000000"/>
                                      <w:sz w:val="14"/>
                                    </w:rPr>
                                    <w:t>+1.713</w:t>
                                  </w:r>
                                  <w:r>
                                    <w:rPr>
                                      <w:rFonts w:ascii="Arial;sans-serif" w:hAnsi="Arial;sans-serif"/>
                                      <w:b w:val="false"/>
                                      <w:color w:val="000000"/>
                                      <w:sz w:val="14"/>
                                      <w:shd w:fill="FFFFFF" w:val="clear"/>
                                    </w:rPr>
                                    <w:t>.758.2346</w:t>
                                  </w:r>
                                  <w:r>
                                    <w:rPr>
                                      <w:color w:val="000000"/>
                                    </w:rPr>
                                    <w:t xml:space="preserve"> </w:t>
                                  </w:r>
                                  <w:r>
                                    <w:rPr>
                                      <w:rFonts w:ascii="Arial;sans-serif" w:hAnsi="Arial;sans-serif"/>
                                      <w:b/>
                                      <w:color w:val="000000"/>
                                      <w:sz w:val="14"/>
                                    </w:rPr>
                                    <w:t>www.velaw.com</w:t>
                                  </w:r>
                                </w:p>
                              </w:tc>
                            </w:tr>
                          </w:tbl>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9pt;mso-wrap-distance-left:0pt;mso-wrap-distance-right:0pt;mso-wrap-distance-top:0pt;mso-wrap-distance-bottom:0pt;margin-top:0pt;mso-position-vertical:top;mso-position-vertical-relative:text;margin-left:-481.35pt;mso-position-horizontal:left;mso-position-horizontal-relative:text">
                <v:textbox>
                  <w:txbxContent>
                    <w:tbl>
                      <w:tblPr>
                        <w:tblW w:w="8999" w:type="dxa"/>
                        <w:jc w:val="left"/>
                        <w:tblInd w:w="0" w:type="dxa"/>
                        <w:tblLayout w:type="fixed"/>
                        <w:tblCellMar>
                          <w:top w:w="28" w:type="dxa"/>
                          <w:left w:w="28" w:type="dxa"/>
                          <w:bottom w:w="28" w:type="dxa"/>
                          <w:right w:w="28" w:type="dxa"/>
                        </w:tblCellMar>
                      </w:tblPr>
                      <w:tblGrid>
                        <w:gridCol w:w="1839"/>
                        <w:gridCol w:w="1620"/>
                        <w:gridCol w:w="1625"/>
                        <w:gridCol w:w="1144"/>
                        <w:gridCol w:w="1144"/>
                        <w:gridCol w:w="1627"/>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376" w:before="0" w:after="0"/>
                              <w:jc w:val="left"/>
                              <w:rPr>
                                <w:rFonts w:ascii="Arial;sans-serif" w:hAnsi="Arial;sans-serif"/>
                                <w:b/>
                                <w:color w:val="000000"/>
                                <w:sz w:val="16"/>
                              </w:rPr>
                            </w:pPr>
                            <w:r>
                              <w:rPr>
                                <w:rFonts w:ascii="Arial;sans-serif" w:hAnsi="Arial;sans-serif"/>
                                <w:b/>
                                <w:color w:val="000000"/>
                                <w:sz w:val="16"/>
                              </w:rPr>
                              <w:t>Vinson &amp; Elkins LLP Attorneys at Law</w:t>
                            </w:r>
                          </w:p>
                          <w:p>
                            <w:pPr>
                              <w:pStyle w:val="TableContents"/>
                              <w:bidi w:val="0"/>
                              <w:spacing w:lineRule="auto" w:line="376" w:before="0" w:after="0"/>
                              <w:jc w:val="left"/>
                              <w:rPr>
                                <w:rFonts w:ascii="Arial;sans-serif" w:hAnsi="Arial;sans-serif"/>
                                <w:b w:val="false"/>
                                <w:color w:val="000000"/>
                                <w:sz w:val="16"/>
                              </w:rPr>
                            </w:pPr>
                            <w:r>
                              <w:rPr>
                                <w:rFonts w:ascii="Arial;sans-serif" w:hAnsi="Arial;sans-serif"/>
                                <w:b w:val="false"/>
                                <w:color w:val="000000"/>
                                <w:sz w:val="16"/>
                              </w:rPr>
                              <w:t xml:space="preserve">Austin Brussels Dallas Denver Dubai Dublin Houston London </w:t>
                            </w:r>
                          </w:p>
                          <w:p>
                            <w:pPr>
                              <w:pStyle w:val="TableContents"/>
                              <w:bidi w:val="0"/>
                              <w:spacing w:lineRule="auto" w:line="376" w:before="0" w:after="0"/>
                              <w:jc w:val="left"/>
                              <w:rPr>
                                <w:rFonts w:ascii="Arial;sans-serif" w:hAnsi="Arial;sans-serif"/>
                                <w:b w:val="false"/>
                                <w:color w:val="000000"/>
                                <w:sz w:val="16"/>
                              </w:rPr>
                            </w:pPr>
                            <w:r>
                              <w:rPr>
                                <w:rFonts w:ascii="Arial;sans-serif" w:hAnsi="Arial;sans-serif"/>
                                <w:b w:val="false"/>
                                <w:color w:val="000000"/>
                                <w:sz w:val="16"/>
                              </w:rPr>
                              <w:t>Los Angeles New York Richmond San Francisco Tokyo Washington</w:t>
                            </w:r>
                          </w:p>
                        </w:tc>
                        <w:tc>
                          <w:tcPr>
                            <w:tcW w:w="3915" w:type="dxa"/>
                            <w:gridSpan w:val="3"/>
                            <w:tcBorders/>
                            <w:tcMar>
                              <w:top w:w="0" w:type="dxa"/>
                              <w:left w:w="0" w:type="dxa"/>
                              <w:bottom w:w="0" w:type="dxa"/>
                              <w:right w:w="0" w:type="dxa"/>
                            </w:tcMar>
                            <w:vAlign w:val="center"/>
                          </w:tcPr>
                          <w:p>
                            <w:pPr>
                              <w:pStyle w:val="TableContents"/>
                              <w:bidi w:val="0"/>
                              <w:spacing w:lineRule="auto" w:line="376" w:before="0" w:after="0"/>
                              <w:jc w:val="left"/>
                              <w:rPr>
                                <w:rFonts w:ascii="Arial;sans-serif" w:hAnsi="Arial;sans-serif"/>
                                <w:b w:val="false"/>
                                <w:color w:val="000000"/>
                                <w:sz w:val="14"/>
                              </w:rPr>
                            </w:pPr>
                            <w:r>
                              <w:rPr>
                                <w:rFonts w:ascii="Arial;sans-serif" w:hAnsi="Arial;sans-serif"/>
                                <w:b w:val="false"/>
                                <w:color w:val="000000"/>
                                <w:sz w:val="14"/>
                              </w:rPr>
                              <w:t>Texas Tower, 845 Texas Avenue, Suite 4700</w:t>
                            </w:r>
                          </w:p>
                          <w:p>
                            <w:pPr>
                              <w:pStyle w:val="TableContents"/>
                              <w:bidi w:val="0"/>
                              <w:spacing w:lineRule="auto" w:line="376" w:before="0" w:after="0"/>
                              <w:jc w:val="left"/>
                              <w:rPr>
                                <w:rFonts w:ascii="Arial;sans-serif" w:hAnsi="Arial;sans-serif"/>
                                <w:b w:val="false"/>
                                <w:color w:val="000000"/>
                                <w:sz w:val="14"/>
                              </w:rPr>
                            </w:pPr>
                            <w:r>
                              <w:rPr>
                                <w:rFonts w:ascii="Arial;sans-serif" w:hAnsi="Arial;sans-serif"/>
                                <w:b w:val="false"/>
                                <w:color w:val="000000"/>
                                <w:sz w:val="14"/>
                              </w:rPr>
                              <w:t xml:space="preserve">Houston, TX 77002 </w:t>
                            </w:r>
                          </w:p>
                          <w:p>
                            <w:pPr>
                              <w:pStyle w:val="TableContents"/>
                              <w:bidi w:val="0"/>
                              <w:spacing w:lineRule="auto" w:line="376" w:before="0" w:after="0"/>
                              <w:jc w:val="left"/>
                              <w:rPr/>
                            </w:pPr>
                            <w:r>
                              <w:rPr>
                                <w:rFonts w:ascii="Arial;sans-serif" w:hAnsi="Arial;sans-serif"/>
                                <w:b/>
                                <w:color w:val="000000"/>
                                <w:sz w:val="14"/>
                              </w:rPr>
                              <w:t>Tel</w:t>
                            </w:r>
                            <w:r>
                              <w:rPr>
                                <w:color w:val="000000"/>
                              </w:rPr>
                              <w:t xml:space="preserve"> </w:t>
                            </w:r>
                            <w:r>
                              <w:rPr>
                                <w:rFonts w:ascii="Arial;sans-serif" w:hAnsi="Arial;sans-serif"/>
                                <w:b w:val="false"/>
                                <w:color w:val="000000"/>
                                <w:sz w:val="14"/>
                              </w:rPr>
                              <w:t xml:space="preserve">+1.713.758.2222 </w:t>
                            </w:r>
                            <w:r>
                              <w:rPr>
                                <w:rFonts w:ascii="Arial;sans-serif" w:hAnsi="Arial;sans-serif"/>
                                <w:b/>
                                <w:color w:val="000000"/>
                                <w:sz w:val="14"/>
                              </w:rPr>
                              <w:t>Fax</w:t>
                            </w:r>
                            <w:r>
                              <w:rPr>
                                <w:color w:val="000000"/>
                              </w:rPr>
                              <w:t xml:space="preserve"> </w:t>
                            </w:r>
                            <w:r>
                              <w:rPr>
                                <w:rFonts w:ascii="Arial;sans-serif" w:hAnsi="Arial;sans-serif"/>
                                <w:b w:val="false"/>
                                <w:color w:val="000000"/>
                                <w:sz w:val="14"/>
                              </w:rPr>
                              <w:t>+1.713</w:t>
                            </w:r>
                            <w:r>
                              <w:rPr>
                                <w:rFonts w:ascii="Arial;sans-serif" w:hAnsi="Arial;sans-serif"/>
                                <w:b w:val="false"/>
                                <w:color w:val="000000"/>
                                <w:sz w:val="14"/>
                                <w:shd w:fill="FFFFFF" w:val="clear"/>
                              </w:rPr>
                              <w:t>.758.2346</w:t>
                            </w:r>
                            <w:r>
                              <w:rPr>
                                <w:color w:val="000000"/>
                              </w:rPr>
                              <w:t xml:space="preserve"> </w:t>
                            </w:r>
                            <w:r>
                              <w:rPr>
                                <w:rFonts w:ascii="Arial;sans-serif" w:hAnsi="Arial;sans-serif"/>
                                <w:b/>
                                <w:color w:val="000000"/>
                                <w:sz w:val="14"/>
                              </w:rPr>
                              <w:t>www.velaw.com</w:t>
                            </w:r>
                          </w:p>
                        </w:tc>
                      </w:tr>
                    </w:tbl>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this Registration Statement on Form S-8 of our report dated March 25, 2026, relating to the financial statements of comScore, Inc. appearing in the Annual Report on Form 10-K of comScore, Inc. for the year ended December 31, 2025.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McLean, Virginia</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August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Arial;sans-serif" w:hAnsi="Arial;sans-serif"/>
          <w:b/>
          <w:color w:val="000000"/>
          <w:sz w:val="20"/>
        </w:rPr>
      </w:pPr>
      <w:r>
        <w:rPr>
          <w:rFonts w:ascii="Arial;sans-serif" w:hAnsi="Arial;sans-serif"/>
          <w:b/>
          <w:color w:val="000000"/>
          <w:sz w:val="20"/>
        </w:rPr>
        <w:t>Exhibit 99.8</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COMSCORE, INC.</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EMPLOYMENT INDUCEMENT PLAN</w:t>
      </w:r>
    </w:p>
    <w:p>
      <w:pPr>
        <w:pStyle w:val="TextBody"/>
        <w:bidi w:val="0"/>
        <w:spacing w:lineRule="auto" w:line="288" w:before="0" w:after="240"/>
        <w:ind w:left="0" w:right="0" w:firstLine="720"/>
        <w:jc w:val="both"/>
        <w:rPr/>
      </w:pPr>
      <w:r>
        <w:rPr>
          <w:rFonts w:ascii="Arial;sans-serif" w:hAnsi="Arial;sans-serif"/>
          <w:b/>
          <w:color w:val="000000"/>
          <w:sz w:val="18"/>
        </w:rPr>
        <w:t>1.</w:t>
      </w:r>
      <w:r>
        <w:rPr>
          <w:rFonts w:ascii="Arial;sans-serif" w:hAnsi="Arial;sans-serif"/>
          <w:b/>
          <w:color w:val="000000"/>
          <w:sz w:val="18"/>
        </w:rPr>
        <w:t>Purpose</w:t>
      </w:r>
      <w:r>
        <w:rPr>
          <w:rFonts w:ascii="Arial;sans-serif" w:hAnsi="Arial;sans-serif"/>
          <w:b w:val="false"/>
          <w:color w:val="000000"/>
          <w:sz w:val="18"/>
        </w:rPr>
        <w:t>. The purpose of the Comscore, Inc. Employment Inducement Plan (the “</w:t>
      </w:r>
      <w:r>
        <w:rPr>
          <w:rFonts w:ascii="Arial;sans-serif" w:hAnsi="Arial;sans-serif"/>
          <w:b/>
          <w:i/>
          <w:color w:val="000000"/>
          <w:sz w:val="18"/>
        </w:rPr>
        <w:t>Plan</w:t>
      </w:r>
      <w:r>
        <w:rPr>
          <w:color w:val="000000"/>
        </w:rPr>
        <w:t>”</w:t>
      </w:r>
      <w:r>
        <w:rPr>
          <w:rFonts w:ascii="Arial;sans-serif" w:hAnsi="Arial;sans-serif"/>
          <w:b w:val="false"/>
          <w:color w:val="000000"/>
          <w:sz w:val="18"/>
        </w:rPr>
        <w:t>) is to promote the success of Comscore,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and its Subsidiaries by providing for the grant of equity-based incentives to individuals who enter into employment with the Company and for whom such awards constitute a material inducement to entering into such employment. Capitalized terms used but not defined herein shall have the meanings set forth in the Company’s Amended and Restated 2018 Equity and Incentive Compensation Plan, or any successor equity compensation plan of the Company, as amended from time to time (the “</w:t>
      </w:r>
      <w:r>
        <w:rPr>
          <w:rFonts w:ascii="Arial;sans-serif" w:hAnsi="Arial;sans-serif"/>
          <w:b/>
          <w:i/>
          <w:color w:val="000000"/>
          <w:sz w:val="18"/>
        </w:rPr>
        <w:t>Incentive Plan</w:t>
      </w:r>
      <w:r>
        <w:rPr>
          <w:color w:val="000000"/>
        </w:rPr>
        <w:t>”</w:t>
      </w:r>
      <w:r>
        <w:rPr>
          <w:rFonts w:ascii="Arial;sans-serif" w:hAnsi="Arial;sans-serif"/>
          <w:b w:val="false"/>
          <w:color w:val="000000"/>
          <w:sz w:val="18"/>
        </w:rPr>
        <w:t>).</w:t>
      </w:r>
    </w:p>
    <w:p>
      <w:pPr>
        <w:pStyle w:val="TextBody"/>
        <w:bidi w:val="0"/>
        <w:spacing w:lineRule="auto" w:line="288" w:before="0" w:after="240"/>
        <w:ind w:left="0" w:right="0" w:firstLine="720"/>
        <w:jc w:val="both"/>
        <w:rPr/>
      </w:pPr>
      <w:r>
        <w:rPr>
          <w:rFonts w:ascii="Arial;sans-serif" w:hAnsi="Arial;sans-serif"/>
          <w:b/>
          <w:color w:val="000000"/>
          <w:sz w:val="18"/>
        </w:rPr>
        <w:t>2.</w:t>
      </w:r>
      <w:r>
        <w:rPr>
          <w:rFonts w:ascii="Arial;sans-serif" w:hAnsi="Arial;sans-serif"/>
          <w:b/>
          <w:color w:val="000000"/>
          <w:sz w:val="18"/>
        </w:rPr>
        <w:t>Share Reserve</w:t>
      </w:r>
      <w:r>
        <w:rPr>
          <w:rFonts w:ascii="Arial;sans-serif" w:hAnsi="Arial;sans-serif"/>
          <w:b w:val="false"/>
          <w:color w:val="000000"/>
          <w:sz w:val="18"/>
        </w:rPr>
        <w:t>. Subject to adjustment pursuant to Section 7, a total of 1,000,000 shares of the Company’s common stock shall be available for issuance under the Plan. If any Award (as defined below) under this Plan is cancelled or forfeited, expires, is settled for cash, or is unearned, the shares of Common Stock subject to such Award will, to the extent of such cancellation, forfeiture, expiration, cash settlement, or unearned amount, again be available under this Plan. For the avoidance of doubt, shares available under this Plan are separate from, and shall not reduce, the share reserve under the Incentive Plan.</w:t>
      </w:r>
    </w:p>
    <w:p>
      <w:pPr>
        <w:pStyle w:val="TextBody"/>
        <w:bidi w:val="0"/>
        <w:spacing w:lineRule="auto" w:line="288" w:before="0" w:after="240"/>
        <w:ind w:left="0" w:right="0" w:firstLine="720"/>
        <w:jc w:val="both"/>
        <w:rPr/>
      </w:pPr>
      <w:r>
        <w:rPr>
          <w:rFonts w:ascii="Arial;sans-serif" w:hAnsi="Arial;sans-serif"/>
          <w:b/>
          <w:color w:val="000000"/>
          <w:sz w:val="18"/>
        </w:rPr>
        <w:t>3.</w:t>
      </w:r>
      <w:r>
        <w:rPr>
          <w:rFonts w:ascii="Arial;sans-serif" w:hAnsi="Arial;sans-serif"/>
          <w:b/>
          <w:color w:val="000000"/>
          <w:sz w:val="18"/>
        </w:rPr>
        <w:t>Eligible Individuals</w:t>
      </w:r>
      <w:r>
        <w:rPr>
          <w:rFonts w:ascii="Arial;sans-serif" w:hAnsi="Arial;sans-serif"/>
          <w:b w:val="false"/>
          <w:color w:val="000000"/>
          <w:sz w:val="18"/>
        </w:rPr>
        <w:t>. Awards may be granted under the Plan to any officer or employee of the Company or of any of its Subsidiaries who is eligible to receive an inducement award or inducement grant under Nasdaq Listing Rule 5635(c) or any successor rule (each such individual, an “</w:t>
      </w:r>
      <w:r>
        <w:rPr>
          <w:rFonts w:ascii="Arial;sans-serif" w:hAnsi="Arial;sans-serif"/>
          <w:b/>
          <w:i/>
          <w:color w:val="000000"/>
          <w:sz w:val="18"/>
        </w:rPr>
        <w:t>Eligible Individual</w:t>
      </w:r>
      <w:r>
        <w:rPr>
          <w:color w:val="000000"/>
        </w:rPr>
        <w:t>”</w:t>
      </w:r>
      <w:r>
        <w:rPr>
          <w:rFonts w:ascii="Arial;sans-serif" w:hAnsi="Arial;sans-serif"/>
          <w:b w:val="false"/>
          <w:color w:val="000000"/>
          <w:sz w:val="18"/>
        </w:rPr>
        <w:t>), provided that such individual also must be an “employee” of the Company or any of its parents or subsidiaries within the meaning of General Instruction A.1(a) to Form S-8. An employee on leave of absence may be considered as in the employ of the Company or one of its Subsidiaries for purposes of eligibility for participation in the Plan.</w:t>
      </w:r>
    </w:p>
    <w:p>
      <w:pPr>
        <w:pStyle w:val="TextBody"/>
        <w:bidi w:val="0"/>
        <w:spacing w:lineRule="auto" w:line="288" w:before="0" w:after="240"/>
        <w:ind w:left="0" w:right="0" w:firstLine="720"/>
        <w:jc w:val="both"/>
        <w:rPr/>
      </w:pPr>
      <w:r>
        <w:rPr>
          <w:rFonts w:ascii="Arial;sans-serif" w:hAnsi="Arial;sans-serif"/>
          <w:b/>
          <w:color w:val="000000"/>
          <w:sz w:val="18"/>
        </w:rPr>
        <w:t>4.</w:t>
      </w:r>
      <w:r>
        <w:rPr>
          <w:rFonts w:ascii="Arial;sans-serif" w:hAnsi="Arial;sans-serif"/>
          <w:b/>
          <w:color w:val="000000"/>
          <w:sz w:val="18"/>
        </w:rPr>
        <w:t>Administration</w:t>
      </w:r>
      <w:r>
        <w:rPr>
          <w:rFonts w:ascii="Arial;sans-serif" w:hAnsi="Arial;sans-serif"/>
          <w:b w:val="false"/>
          <w:color w:val="000000"/>
          <w:sz w:val="18"/>
        </w:rPr>
        <w:t>. The Plan shall be administered by the Compensation Committee of the Company's Board of Directors (the “</w:t>
      </w:r>
      <w:r>
        <w:rPr>
          <w:rFonts w:ascii="Arial;sans-serif" w:hAnsi="Arial;sans-serif"/>
          <w:b/>
          <w:i/>
          <w:color w:val="000000"/>
          <w:sz w:val="18"/>
        </w:rPr>
        <w:t>Board</w:t>
      </w:r>
      <w:r>
        <w:rPr>
          <w:color w:val="000000"/>
        </w:rPr>
        <w:t>”</w:t>
      </w:r>
      <w:r>
        <w:rPr>
          <w:rFonts w:ascii="Arial;sans-serif" w:hAnsi="Arial;sans-serif"/>
          <w:b w:val="false"/>
          <w:color w:val="000000"/>
          <w:sz w:val="18"/>
        </w:rPr>
        <w:t>) composed solely of independent directors or, if applicable, by a majority of the Company'’s independent directors (as applicable, the “</w:t>
      </w:r>
      <w:r>
        <w:rPr>
          <w:rFonts w:ascii="Arial;sans-serif" w:hAnsi="Arial;sans-serif"/>
          <w:b/>
          <w:i/>
          <w:color w:val="000000"/>
          <w:sz w:val="18"/>
        </w:rPr>
        <w:t>Administrator</w:t>
      </w:r>
      <w:r>
        <w:rPr>
          <w:color w:val="000000"/>
        </w:rPr>
        <w:t>”</w:t>
      </w:r>
      <w:r>
        <w:rPr>
          <w:rFonts w:ascii="Arial;sans-serif" w:hAnsi="Arial;sans-serif"/>
          <w:b w:val="false"/>
          <w:color w:val="000000"/>
          <w:sz w:val="18"/>
        </w:rPr>
        <w:t>). The Administrator shall have full authority to (i) designate Eligible Individuals, (ii) grant awards to Eligible Individuals, (iii) determine the terms and conditions of awards, (iv) interpret and administer the Plan, and (v) establish, amend, suspend, or waive rules and regulations used to administer the Plan.</w:t>
      </w:r>
    </w:p>
    <w:p>
      <w:pPr>
        <w:pStyle w:val="TextBody"/>
        <w:bidi w:val="0"/>
        <w:spacing w:lineRule="auto" w:line="288" w:before="0" w:after="240"/>
        <w:ind w:left="0" w:right="0" w:firstLine="720"/>
        <w:jc w:val="both"/>
        <w:rPr/>
      </w:pPr>
      <w:r>
        <w:rPr>
          <w:rFonts w:ascii="Arial;sans-serif" w:hAnsi="Arial;sans-serif"/>
          <w:b/>
          <w:color w:val="000000"/>
          <w:sz w:val="18"/>
        </w:rPr>
        <w:t>5.</w:t>
      </w:r>
      <w:r>
        <w:rPr>
          <w:rFonts w:ascii="Arial;sans-serif" w:hAnsi="Arial;sans-serif"/>
          <w:b/>
          <w:color w:val="000000"/>
          <w:sz w:val="18"/>
        </w:rPr>
        <w:t>Awards</w:t>
      </w:r>
      <w:r>
        <w:rPr>
          <w:rFonts w:ascii="Arial;sans-serif" w:hAnsi="Arial;sans-serif"/>
          <w:b w:val="false"/>
          <w:color w:val="000000"/>
          <w:sz w:val="18"/>
        </w:rPr>
        <w:t>. The Administrator may grant Option Rights, Appreciation Rights, Restricted Stock, Restricted Stock Units, Performance Shares, Performance Units, other stock-based awards, or any combination of the foregoing (each, an “</w:t>
      </w:r>
      <w:r>
        <w:rPr>
          <w:rFonts w:ascii="Arial;sans-serif" w:hAnsi="Arial;sans-serif"/>
          <w:b/>
          <w:i/>
          <w:color w:val="000000"/>
          <w:sz w:val="18"/>
        </w:rPr>
        <w:t>Award</w:t>
      </w:r>
      <w:r>
        <w:rPr>
          <w:color w:val="000000"/>
        </w:rPr>
        <w:t>”</w:t>
      </w:r>
      <w:r>
        <w:rPr>
          <w:rFonts w:ascii="Arial;sans-serif" w:hAnsi="Arial;sans-serif"/>
          <w:b w:val="false"/>
          <w:color w:val="000000"/>
          <w:sz w:val="18"/>
        </w:rPr>
        <w:t>), provided that no Incentive Stock Options may be granted under this Plan.</w:t>
      </w:r>
    </w:p>
    <w:p>
      <w:pPr>
        <w:pStyle w:val="TextBody"/>
        <w:bidi w:val="0"/>
        <w:spacing w:lineRule="auto" w:line="288" w:before="0" w:after="240"/>
        <w:ind w:left="0" w:right="0" w:firstLine="720"/>
        <w:jc w:val="both"/>
        <w:rPr/>
      </w:pPr>
      <w:r>
        <w:rPr>
          <w:rFonts w:ascii="Arial;sans-serif" w:hAnsi="Arial;sans-serif"/>
          <w:b/>
          <w:color w:val="000000"/>
          <w:sz w:val="18"/>
        </w:rPr>
        <w:t>6.</w:t>
      </w:r>
      <w:r>
        <w:rPr>
          <w:rFonts w:ascii="Arial;sans-serif" w:hAnsi="Arial;sans-serif"/>
          <w:b/>
          <w:color w:val="000000"/>
          <w:sz w:val="18"/>
        </w:rPr>
        <w:t>Award Agreements</w:t>
      </w:r>
      <w:r>
        <w:rPr>
          <w:rFonts w:ascii="Arial;sans-serif" w:hAnsi="Arial;sans-serif"/>
          <w:b w:val="false"/>
          <w:color w:val="000000"/>
          <w:sz w:val="18"/>
        </w:rPr>
        <w:t>. Each Award shall be evidenced by an award agreement containing such vesting, forfeiture, settlement, and other terms as the Administrator determines.</w:t>
      </w:r>
    </w:p>
    <w:p>
      <w:pPr>
        <w:pStyle w:val="TextBody"/>
        <w:bidi w:val="0"/>
        <w:spacing w:lineRule="auto" w:line="288" w:before="0" w:after="240"/>
        <w:ind w:left="0" w:right="0" w:firstLine="720"/>
        <w:jc w:val="both"/>
        <w:rPr/>
      </w:pPr>
      <w:r>
        <w:rPr>
          <w:rFonts w:ascii="Arial;sans-serif" w:hAnsi="Arial;sans-serif"/>
          <w:b/>
          <w:color w:val="000000"/>
          <w:sz w:val="18"/>
        </w:rPr>
        <w:t>7.</w:t>
      </w:r>
      <w:r>
        <w:rPr>
          <w:rFonts w:ascii="Arial;sans-serif" w:hAnsi="Arial;sans-serif"/>
          <w:b/>
          <w:color w:val="000000"/>
          <w:sz w:val="18"/>
        </w:rPr>
        <w:t>Adjustments</w:t>
      </w:r>
      <w:r>
        <w:rPr>
          <w:rFonts w:ascii="Arial;sans-serif" w:hAnsi="Arial;sans-serif"/>
          <w:b w:val="false"/>
          <w:color w:val="000000"/>
          <w:sz w:val="18"/>
        </w:rPr>
        <w:t>. In the event of any stock split, stock dividend, combination of shares, recapitalization, merger, reorganization, or similar transaction affecting the Company's common stock, the Administrator shall make such equitable adjustments to the number and kind of shares available under the Plan as the Administrator in its sole discretion, exercised in good faith, determines is appropriate to reflect such event.</w:t>
      </w:r>
    </w:p>
    <w:p>
      <w:pPr>
        <w:pStyle w:val="TextBody"/>
        <w:bidi w:val="0"/>
        <w:spacing w:lineRule="auto" w:line="288" w:before="0" w:after="240"/>
        <w:ind w:left="0" w:right="0" w:firstLine="720"/>
        <w:jc w:val="both"/>
        <w:rPr/>
      </w:pPr>
      <w:r>
        <w:rPr>
          <w:rFonts w:ascii="Arial;sans-serif" w:hAnsi="Arial;sans-serif"/>
          <w:b/>
          <w:color w:val="000000"/>
          <w:sz w:val="18"/>
        </w:rPr>
        <w:t>8.</w:t>
      </w:r>
      <w:r>
        <w:rPr>
          <w:rFonts w:ascii="Arial;sans-serif" w:hAnsi="Arial;sans-serif"/>
          <w:b/>
          <w:color w:val="000000"/>
          <w:sz w:val="18"/>
        </w:rPr>
        <w:t>Amendment and Termination</w:t>
      </w:r>
      <w:r>
        <w:rPr>
          <w:rFonts w:ascii="Arial;sans-serif" w:hAnsi="Arial;sans-serif"/>
          <w:b w:val="false"/>
          <w:color w:val="000000"/>
          <w:sz w:val="18"/>
        </w:rPr>
        <w:t>. The Board may amend, suspend, or terminate the Plan at any time, subject to applicable law and stock exchange requirements.</w:t>
      </w:r>
    </w:p>
    <w:p>
      <w:pPr>
        <w:pStyle w:val="TextBody"/>
        <w:bidi w:val="0"/>
        <w:spacing w:lineRule="auto" w:line="288" w:before="0" w:after="240"/>
        <w:ind w:left="0" w:right="0" w:firstLine="720"/>
        <w:jc w:val="both"/>
        <w:rPr/>
      </w:pPr>
      <w:r>
        <w:rPr>
          <w:rFonts w:ascii="Arial;sans-serif" w:hAnsi="Arial;sans-serif"/>
          <w:b/>
          <w:color w:val="000000"/>
          <w:sz w:val="18"/>
        </w:rPr>
        <w:t>9.</w:t>
      </w:r>
      <w:r>
        <w:rPr>
          <w:rFonts w:ascii="Arial;sans-serif" w:hAnsi="Arial;sans-serif"/>
          <w:b/>
          <w:color w:val="000000"/>
          <w:sz w:val="18"/>
        </w:rPr>
        <w:t>Effective Date</w:t>
      </w:r>
      <w:r>
        <w:rPr>
          <w:rFonts w:ascii="Arial;sans-serif" w:hAnsi="Arial;sans-serif"/>
          <w:b w:val="false"/>
          <w:color w:val="000000"/>
          <w:sz w:val="18"/>
        </w:rPr>
        <w:t>. The Plan was adopted by the Board to be effective on August 6, 2026 (the “</w:t>
      </w:r>
      <w:r>
        <w:rPr>
          <w:rFonts w:ascii="Arial;sans-serif" w:hAnsi="Arial;sans-serif"/>
          <w:b/>
          <w:i/>
          <w:color w:val="000000"/>
          <w:sz w:val="18"/>
        </w:rPr>
        <w:t>Effective Date</w:t>
      </w:r>
      <w:r>
        <w:rPr>
          <w:color w:val="000000"/>
        </w:rPr>
        <w:t>”</w:t>
      </w:r>
      <w:r>
        <w:rPr>
          <w:rFonts w:ascii="Arial;sans-serif" w:hAnsi="Arial;sans-serif"/>
          <w:b w:val="false"/>
          <w:color w:val="000000"/>
          <w:sz w:val="18"/>
        </w:rPr>
        <w:t>). No Awards may be granted under the Plan on and after the tenth anniversary of the Effective Date, which is August 6, 2036.</w:t>
      </w:r>
    </w:p>
    <w:p>
      <w:pPr>
        <w:pStyle w:val="TextBody"/>
        <w:bidi w:val="0"/>
        <w:spacing w:lineRule="auto" w:line="288" w:before="0" w:after="240"/>
        <w:ind w:left="0" w:right="0" w:firstLine="720"/>
        <w:jc w:val="both"/>
        <w:rPr/>
      </w:pPr>
      <w:r>
        <w:rPr>
          <w:rFonts w:ascii="Arial;sans-serif" w:hAnsi="Arial;sans-serif"/>
          <w:b/>
          <w:color w:val="000000"/>
          <w:sz w:val="18"/>
        </w:rPr>
        <w:t>10.</w:t>
      </w:r>
      <w:r>
        <w:rPr>
          <w:rFonts w:ascii="Arial;sans-serif" w:hAnsi="Arial;sans-serif"/>
          <w:b/>
          <w:color w:val="000000"/>
          <w:sz w:val="18"/>
        </w:rPr>
        <w:t>Relation to the Incentive Plan</w:t>
      </w:r>
      <w:r>
        <w:rPr>
          <w:rFonts w:ascii="Arial;sans-serif" w:hAnsi="Arial;sans-serif"/>
          <w:b w:val="false"/>
          <w:color w:val="000000"/>
          <w:sz w:val="18"/>
        </w:rPr>
        <w:t>. Except as expressly modified herein, the terms and conditions of the Incentive Plan relating to plan administration (currently Section 10 of the Incentive Plan), adjustments (Section 11), detrimental activity and recapture (Section 13), transferability (Section 15), withholding taxes (Section 16), and compliance with Section 409A of the Code (Section 17) (as such sections may be amended from time to time) are hereby incorporated by reference and shall govern all Awards granted under this Plan. The Administrator shall have all of the authority, rights, and powers provided in the Incentive Plan to the administrative committee thereunder with respect to awards granted under the Incentive Plan as if the Awards granted under this Plan were subject to the Incentive Plan. In the event of any conflict between this Plan and the Incentive Plan, this Plan shall control.</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8172/000095013307002643/x30988a3exv3w3.htm" TargetMode="External"/><Relationship Id="rId3" Type="http://schemas.openxmlformats.org/officeDocument/2006/relationships/hyperlink" Target="https://www.sec.gov/Archives/edgar/data/1158172/000115817218000091/certificateofamendmentauth.htm" TargetMode="External"/><Relationship Id="rId4" Type="http://schemas.openxmlformats.org/officeDocument/2006/relationships/hyperlink" Target="https://www.sec.gov/Archives/edgar/data/1158172/000119312521081567/d120882dex31.htm" TargetMode="External"/><Relationship Id="rId5" Type="http://schemas.openxmlformats.org/officeDocument/2006/relationships/hyperlink" Target="https://www.sec.gov/Archives/edgar/data/1158172/000115817223000055/exhibit31-certificateofinc.htm" TargetMode="External"/><Relationship Id="rId6" Type="http://schemas.openxmlformats.org/officeDocument/2006/relationships/hyperlink" Target="https://www.sec.gov/Archives/edgar/data/1158172/000115817223000124/exhibit31certificateofinco.htm" TargetMode="External"/><Relationship Id="rId7" Type="http://schemas.openxmlformats.org/officeDocument/2006/relationships/hyperlink" Target="https://www.sec.gov/Archives/edgar/data/1158172/000115817225000049/ex-31certificateofincorpor.htm" TargetMode="External"/><Relationship Id="rId8" Type="http://schemas.openxmlformats.org/officeDocument/2006/relationships/hyperlink" Target="https://www.sec.gov/Archives/edgar/data/1158172/000115817225000104/exhibit32certificateofamen.htm" TargetMode="External"/><Relationship Id="rId9" Type="http://schemas.openxmlformats.org/officeDocument/2006/relationships/hyperlink" Target="https://www.sec.gov/Archives/edgar/data/1158172/000115817225000104/exhibit33certificateofdesi.htm" TargetMode="External"/><Relationship Id="rId10" Type="http://schemas.openxmlformats.org/officeDocument/2006/relationships/hyperlink" Target="https://www.sec.gov/Archives/edgar/data/1158172/000115817218000160/exhibit32-amendedandrestat.htm" TargetMode="External"/><Relationship Id="rId11" Type="http://schemas.openxmlformats.org/officeDocument/2006/relationships/hyperlink" Target="https://www.sec.gov/Archives/edgar/data/1158172/000119312520193346/d19455dex101.htm" TargetMode="External"/><Relationship Id="rId12" Type="http://schemas.openxmlformats.org/officeDocument/2006/relationships/hyperlink" Target="https://www.sec.gov/Archives/edgar/data/1158172/000115817223000124/exhibit101thirdamendmentto.htm" TargetMode="External"/><Relationship Id="rId13" Type="http://schemas.openxmlformats.org/officeDocument/2006/relationships/hyperlink" Target="https://www.sec.gov/Archives/edgar/data/1158172/000115817226000069/exhibit101-sixthamendmentt.htm" TargetMode="External"/><Relationship Id="rId14" Type="http://schemas.openxmlformats.org/officeDocument/2006/relationships/hyperlink" Target="https://www.sec.gov/Archives/edgar/data/1158172/000115817226000069/exhibit101-sixthamendmentt.htm" TargetMode="External"/><Relationship Id="rId15" Type="http://schemas.openxmlformats.org/officeDocument/2006/relationships/hyperlink" Target="https://www.sec.gov/Archives/edgar/data/1158172/000115817226000069/exhibit101-sixthamendmentt.htm" TargetMode="External"/><Relationship Id="rId16" Type="http://schemas.openxmlformats.org/officeDocument/2006/relationships/hyperlink" Target="https://www.sec.gov/Archives/edgar/data/1158172/000115817226000069/exhibit101-sixthamendmentt.htm" TargetMode="External"/><Relationship Id="rId17" Type="http://schemas.openxmlformats.org/officeDocument/2006/relationships/hyperlink" Target="https://www.sec.gov/Archives/edgar/data/1158172/000115817226000069/exhibit101-sixthamendmentt.htm" TargetMode="External"/><Relationship Id="rId18" Type="http://schemas.openxmlformats.org/officeDocument/2006/relationships/hyperlink" Target="https://www.sec.gov/Archives/edgar/data/1158172/000115817226000069/exhibit101-sixthamendmentt.htm" TargetMode="External"/><Relationship Id="rId19" Type="http://schemas.openxmlformats.org/officeDocument/2006/relationships/hyperlink" Target="https://www.sec.gov/Archives/edgar/data/1158172/000115817226000069/exhibit101-sixthamendmentt.htm" TargetMode="External"/><Relationship Id="rId20" Type="http://schemas.openxmlformats.org/officeDocument/2006/relationships/hyperlink" Target="https://www.sec.gov/Archives/edgar/data/1158172/000115817226000069/exhibit101-sixthamendmentt.htm" TargetMode="External"/><Relationship Id="rId21" Type="http://schemas.openxmlformats.org/officeDocument/2006/relationships/hyperlink" Target="https://www.sec.gov/Archives/edgar/data/1158172/000115817226000069/exhibit101-sixthamendmentt.htm" TargetMode="External"/><Relationship Id="rId22" Type="http://schemas.openxmlformats.org/officeDocument/2006/relationships/image" Target="media/image1.pn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5263</Words>
  <Characters>28426</Characters>
  <CharactersWithSpaces>33485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