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569"/>
        </w:trPr>
        <w:tc>
          <w:tcPr>
            <w:tcW w:w="3200" w:type="dxa"/>
            <w:vAlign w:val="bottom"/>
          </w:tcPr>
          <w:p>
            <w:pPr>
              <w:spacing w:after="0"/>
              <w:rPr>
                <w:sz w:val="24"/>
                <w:szCs w:val="24"/>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43"/>
                <w:szCs w:val="43"/>
                <w:b w:val="1"/>
                <w:bCs w:val="1"/>
                <w:color w:val="auto"/>
              </w:rPr>
              <w:t>COMSCORE, INC.</w:t>
            </w:r>
          </w:p>
        </w:tc>
        <w:tc>
          <w:tcPr>
            <w:tcW w:w="3060" w:type="dxa"/>
            <w:vAlign w:val="bottom"/>
          </w:tcPr>
          <w:p>
            <w:pPr>
              <w:spacing w:after="0"/>
              <w:rPr>
                <w:sz w:val="24"/>
                <w:szCs w:val="24"/>
                <w:color w:val="auto"/>
              </w:rPr>
            </w:pPr>
          </w:p>
        </w:tc>
      </w:tr>
      <w:tr>
        <w:trPr>
          <w:trHeight w:val="238"/>
        </w:trPr>
        <w:tc>
          <w:tcPr>
            <w:tcW w:w="3200" w:type="dxa"/>
            <w:vAlign w:val="bottom"/>
          </w:tcPr>
          <w:p>
            <w:pPr>
              <w:spacing w:after="0"/>
              <w:rPr>
                <w:sz w:val="20"/>
                <w:szCs w:val="20"/>
                <w:color w:val="auto"/>
              </w:rPr>
            </w:pPr>
          </w:p>
        </w:tc>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3060" w:type="dxa"/>
            <w:vAlign w:val="bottom"/>
          </w:tcPr>
          <w:p>
            <w:pPr>
              <w:spacing w:after="0"/>
              <w:rPr>
                <w:sz w:val="20"/>
                <w:szCs w:val="20"/>
                <w:color w:val="auto"/>
              </w:rPr>
            </w:pPr>
          </w:p>
        </w:tc>
      </w:tr>
      <w:tr>
        <w:trPr>
          <w:trHeight w:val="209"/>
        </w:trPr>
        <w:tc>
          <w:tcPr>
            <w:tcW w:w="320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418"/>
        </w:trPr>
        <w:tc>
          <w:tcPr>
            <w:tcW w:w="320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8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w w:val="99"/>
              </w:rPr>
              <w:t>001-33520</w:t>
            </w:r>
          </w:p>
        </w:tc>
        <w:tc>
          <w:tcPr>
            <w:tcW w:w="3060" w:type="dxa"/>
            <w:vAlign w:val="bottom"/>
          </w:tcPr>
          <w:p>
            <w:pPr>
              <w:jc w:val="center"/>
              <w:ind w:right="582"/>
              <w:spacing w:after="0"/>
              <w:rPr>
                <w:sz w:val="20"/>
                <w:szCs w:val="20"/>
                <w:color w:val="auto"/>
              </w:rPr>
            </w:pPr>
            <w:r>
              <w:rPr>
                <w:rFonts w:ascii="Times New Roman" w:cs="Times New Roman" w:eastAsia="Times New Roman" w:hAnsi="Times New Roman"/>
                <w:sz w:val="18"/>
                <w:szCs w:val="18"/>
                <w:b w:val="1"/>
                <w:bCs w:val="1"/>
                <w:color w:val="auto"/>
              </w:rPr>
              <w:t>54-1955550</w:t>
            </w:r>
          </w:p>
        </w:tc>
      </w:tr>
      <w:tr>
        <w:trPr>
          <w:trHeight w:val="148"/>
        </w:trPr>
        <w:tc>
          <w:tcPr>
            <w:tcW w:w="3200" w:type="dxa"/>
            <w:vAlign w:val="bottom"/>
          </w:tcPr>
          <w:p>
            <w:pPr>
              <w:jc w:val="center"/>
              <w:ind w:left="4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060" w:type="dxa"/>
            <w:vAlign w:val="bottom"/>
          </w:tcPr>
          <w:p>
            <w:pPr>
              <w:jc w:val="center"/>
              <w:ind w:right="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60" w:type="dxa"/>
            <w:vAlign w:val="bottom"/>
          </w:tcPr>
          <w:p>
            <w:pPr>
              <w:jc w:val="center"/>
              <w:ind w:right="5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8"/>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11950 Democracy Drive</w:t>
            </w:r>
          </w:p>
        </w:tc>
        <w:tc>
          <w:tcPr>
            <w:tcW w:w="306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18"/>
                <w:szCs w:val="18"/>
                <w:b w:val="1"/>
                <w:bCs w:val="1"/>
                <w:color w:val="auto"/>
                <w:w w:val="99"/>
              </w:rPr>
              <w:t>Suite 600</w:t>
            </w:r>
          </w:p>
        </w:tc>
        <w:tc>
          <w:tcPr>
            <w:tcW w:w="3060" w:type="dxa"/>
            <w:vAlign w:val="bottom"/>
          </w:tcPr>
          <w:p>
            <w:pPr>
              <w:spacing w:after="0"/>
              <w:rPr>
                <w:sz w:val="18"/>
                <w:szCs w:val="18"/>
                <w:color w:val="auto"/>
              </w:rPr>
            </w:pPr>
          </w:p>
        </w:tc>
      </w:tr>
      <w:tr>
        <w:trPr>
          <w:trHeight w:val="214"/>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18"/>
                <w:szCs w:val="18"/>
                <w:b w:val="1"/>
                <w:bCs w:val="1"/>
                <w:color w:val="auto"/>
                <w:w w:val="99"/>
              </w:rPr>
              <w:t>Reston, Virginia 20190</w:t>
            </w:r>
          </w:p>
        </w:tc>
        <w:tc>
          <w:tcPr>
            <w:tcW w:w="3060" w:type="dxa"/>
            <w:vAlign w:val="bottom"/>
          </w:tcPr>
          <w:p>
            <w:pPr>
              <w:spacing w:after="0"/>
              <w:rPr>
                <w:sz w:val="18"/>
                <w:szCs w:val="18"/>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60" w:type="dxa"/>
            <w:vAlign w:val="bottom"/>
          </w:tcPr>
          <w:p>
            <w:pPr>
              <w:spacing w:after="0"/>
              <w:rPr>
                <w:sz w:val="16"/>
                <w:szCs w:val="16"/>
                <w:color w:val="auto"/>
              </w:rPr>
            </w:pPr>
          </w:p>
        </w:tc>
      </w:tr>
      <w:tr>
        <w:trPr>
          <w:trHeight w:val="417"/>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(703) 438–2000</w:t>
            </w:r>
          </w:p>
        </w:tc>
        <w:tc>
          <w:tcPr>
            <w:tcW w:w="306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377"/>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306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60" w:type="dxa"/>
            <w:vAlign w:val="bottom"/>
          </w:tcPr>
          <w:p>
            <w:pPr>
              <w:spacing w:after="0"/>
              <w:rPr>
                <w:sz w:val="16"/>
                <w:szCs w:val="16"/>
                <w:color w:val="auto"/>
              </w:rPr>
            </w:pPr>
          </w:p>
        </w:tc>
      </w:tr>
      <w:tr>
        <w:trPr>
          <w:trHeight w:val="206"/>
        </w:trPr>
        <w:tc>
          <w:tcPr>
            <w:tcW w:w="320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r>
    </w:tbl>
    <w:p>
      <w:pPr>
        <w:spacing w:after="0" w:line="19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17"/>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SCOR</w:t>
            </w: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3, 2026, comScore, Inc. issued a press release announcing its financial results for the period ended September 30, 2026. A copy of the press release announcing the foregoing is furnished as Exhibit 99.1 hereto and is incorporated herein by reference.</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3, 2026</w:t>
            </w:r>
          </w:p>
        </w:tc>
        <w:tc>
          <w:tcPr>
            <w:tcW w:w="7280" w:type="dxa"/>
            <w:vAlign w:val="bottom"/>
          </w:tcPr>
          <w:p>
            <w:pPr>
              <w:spacing w:after="0"/>
              <w:rPr>
                <w:sz w:val="20"/>
                <w:szCs w:val="20"/>
                <w:color w:val="auto"/>
              </w:rPr>
            </w:pPr>
          </w:p>
        </w:tc>
      </w:tr>
      <w:tr>
        <w:trPr>
          <w:trHeight w:val="27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3"/>
                <w:szCs w:val="23"/>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9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9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9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9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9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63" w:lineRule="exact"/>
        <w:rPr>
          <w:sz w:val="20"/>
          <w:szCs w:val="20"/>
          <w:color w:val="auto"/>
        </w:rPr>
      </w:pPr>
    </w:p>
    <w:p>
      <w:pPr>
        <w:ind w:left="5580" w:right="2060" w:hanging="5554"/>
        <w:spacing w:after="0" w:line="892" w:lineRule="auto"/>
        <w:tabs>
          <w:tab w:leader="none" w:pos="11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iXBRL tags are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256"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17145</wp:posOffset>
            </wp:positionV>
            <wp:extent cx="2211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Mary Margaret Curry</w:t>
      </w:r>
    </w:p>
    <w:p>
      <w:pPr>
        <w:spacing w:after="0" w:line="3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0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2057400" cy="403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3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Comscore Reports Third Quarter 2026 Results</w:t>
      </w:r>
    </w:p>
    <w:p>
      <w:pPr>
        <w:spacing w:after="0" w:line="2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i w:val="1"/>
          <w:iCs w:val="1"/>
          <w:color w:val="auto"/>
        </w:rPr>
        <w:t>Executing Against Transformational ROI Strategy for Long-Term Value Creation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Reaffirming Full Year 2026 Outlook</w:t>
      </w:r>
    </w:p>
    <w:p>
      <w:pPr>
        <w:spacing w:after="0" w:line="1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RESTON, Va., November 3, 2026 – comScore, Inc. (Nasdaq: SCOR), a trusted partner for planning, transacting and evaluating media across platforms, today reported financial results for the quarter ended September 30, 2026.</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"During the third quarter, we announced our transformational ROI strategy, which was designed to </w:t>
      </w:r>
      <w:r>
        <w:rPr>
          <w:rFonts w:ascii="Times New Roman" w:cs="Times New Roman" w:eastAsia="Times New Roman" w:hAnsi="Times New Roman"/>
          <w:sz w:val="20"/>
          <w:szCs w:val="20"/>
          <w:b w:val="1"/>
          <w:bCs w:val="1"/>
          <w:color w:val="auto"/>
        </w:rPr>
        <w:t>realign</w:t>
      </w:r>
      <w:r>
        <w:rPr>
          <w:rFonts w:ascii="Times New Roman" w:cs="Times New Roman" w:eastAsia="Times New Roman" w:hAnsi="Times New Roman"/>
          <w:sz w:val="20"/>
          <w:szCs w:val="20"/>
          <w:color w:val="auto"/>
        </w:rPr>
        <w:t xml:space="preserve"> our business and cost structure, </w:t>
      </w:r>
      <w:r>
        <w:rPr>
          <w:rFonts w:ascii="Times New Roman" w:cs="Times New Roman" w:eastAsia="Times New Roman" w:hAnsi="Times New Roman"/>
          <w:sz w:val="20"/>
          <w:szCs w:val="20"/>
          <w:b w:val="1"/>
          <w:bCs w:val="1"/>
          <w:color w:val="auto"/>
        </w:rPr>
        <w:t xml:space="preserve">optimize </w:t>
      </w:r>
      <w:r>
        <w:rPr>
          <w:rFonts w:ascii="Times New Roman" w:cs="Times New Roman" w:eastAsia="Times New Roman" w:hAnsi="Times New Roman"/>
          <w:sz w:val="20"/>
          <w:szCs w:val="20"/>
          <w:color w:val="auto"/>
        </w:rPr>
        <w:t>our operations, and</w:t>
      </w:r>
      <w:r>
        <w:rPr>
          <w:rFonts w:ascii="Times New Roman" w:cs="Times New Roman" w:eastAsia="Times New Roman" w:hAnsi="Times New Roman"/>
          <w:sz w:val="20"/>
          <w:szCs w:val="20"/>
          <w:b w:val="1"/>
          <w:bCs w:val="1"/>
          <w:color w:val="auto"/>
        </w:rPr>
        <w:t xml:space="preserve"> invest </w:t>
      </w:r>
      <w:r>
        <w:rPr>
          <w:rFonts w:ascii="Times New Roman" w:cs="Times New Roman" w:eastAsia="Times New Roman" w:hAnsi="Times New Roman"/>
          <w:sz w:val="20"/>
          <w:szCs w:val="20"/>
          <w:color w:val="auto"/>
        </w:rPr>
        <w:t>in higher-potential growth areas. Our team executed against this new operating model with a strong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sense of urgency, allowing us to achieve significant cost savings in the quarter," said Matt McLaughlin, Chief Executive Officer of Comscore. "We are taking aggressive actions to rationalize our operational footprint and are focused on serving customers in our core business, as well as identifying and capitalizing on long-term growth opportunities in the evolving media landscape. I'm proud of the difficult work our team has done to execute against our plan and remain confident that we will exit the year well positioned to transform the business in 2027 and begin investing for long-term growth."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Financial Highlights</w:t>
      </w:r>
    </w:p>
    <w:p>
      <w:pPr>
        <w:spacing w:after="0" w:line="98" w:lineRule="exact"/>
        <w:rPr>
          <w:sz w:val="20"/>
          <w:szCs w:val="20"/>
          <w:color w:val="auto"/>
        </w:rPr>
      </w:pPr>
    </w:p>
    <w:p>
      <w:pPr>
        <w:ind w:left="660" w:right="80" w:hanging="328"/>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for the third quarter was $76.2 million compared to $88.9 million in Q3 2025 ($79.4 million in Q3 2025 on a pro forma basis, excluding revenue of $9.5 million from the recently divested Movies business)</w:t>
      </w:r>
    </w:p>
    <w:p>
      <w:pPr>
        <w:ind w:left="660" w:right="20" w:hanging="328"/>
        <w:spacing w:after="0" w:line="24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$65.5 million compared to net income of $0.5 million in Q3 2025, primarily due to a non-cash goodwill impairment charge of $57.3 million and restructuring costs of $5.5 million in Q3 2026</w:t>
      </w:r>
    </w:p>
    <w:p>
      <w:pPr>
        <w:spacing w:after="0" w:line="1" w:lineRule="exact"/>
        <w:rPr>
          <w:rFonts w:ascii="Times New Roman" w:cs="Times New Roman" w:eastAsia="Times New Roman" w:hAnsi="Times New Roman"/>
          <w:sz w:val="20"/>
          <w:szCs w:val="20"/>
          <w:color w:val="auto"/>
        </w:rPr>
      </w:pPr>
    </w:p>
    <w:p>
      <w:pPr>
        <w:ind w:left="640" w:hanging="308"/>
        <w:spacing w:after="0" w:line="202"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of $5.8 million compared to $11.0 million in Q3 2025</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Reaffirming full year 2026 outlook, with revenue range between $315 million and $325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42424"/>
        </w:rPr>
        <w:t>Third Quarter Summary Results</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Revenue in the third quarter was $76.2 million, down 14.3% from $88.9 million in the third quarter of 2025, and down 4.1% from $79.4 million on a pro forma basis, excluding revenue from the Movies business divested in May 2026. Content &amp; Ad Measurement revenue decreased 14.4% (2.1% decrease on a pro forma basis) compared to the prior-year quarter due to lower Syndicated Audience revenue, primarily related to the divestiture of the Movies business, as well as lower performance in syndicated digital products. Cross-Platform revenue was flat compared to the prior-year period, with lower usage in Proximic offset by new business in CCM. Research &amp; Insight Solutions revenue decreased 13.9% from the prior-year period, primarily due to lower renewals and lower deliveries of certain custom digital products.</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Core operating expenses, which include cost of revenues, sales and marketing, research and development and general and administrative expenses, were $79.6 million for the quarter, down 8.0% compared to $86.6 million in the third quarter of last year, primarily due to lower employee compensation, data costs, and facilities expense.</w:t>
      </w:r>
    </w:p>
    <w:p>
      <w:pPr>
        <w:spacing w:after="0" w:line="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Due in part to a decline in the Company's stock price and market capitalization and the implementation of the realignment plan in the third quarter, management performed an interim review of the Company's goodwill, which resulted in a non-cash goodwill impairment charge of $57.3 million during the three months ended September 30, 2026. This charge does not directly impact the Company's liquidity, cash flows, or future operations.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Primarily due to the goodwill impairment charge and restructuring costs, net loss for the quarter was $65.5 million compared to net income of $0.5 million in the prior-year period, resulting in net (loss) income margins of (86.0)% and 0.5% of revenue, respectively. Loss per share attributable to common shares was $(4.26) for the third quarter of 2026. After accounting for dividends on the Company's then-outstanding Series B convertible preferred stock, loss per share attributable to common shares was $(0.86) for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58" w:lineRule="exact"/>
        <w:rPr>
          <w:sz w:val="20"/>
          <w:szCs w:val="20"/>
          <w:color w:val="auto"/>
        </w:rPr>
      </w:pPr>
    </w:p>
    <w:p>
      <w:pPr>
        <w:ind w:firstLine="8"/>
        <w:spacing w:after="0" w:line="229" w:lineRule="auto"/>
        <w:tabs>
          <w:tab w:leader="none" w:pos="10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EBITDA and adjusted EBITDA margin are non-GAAP measures defined in the "Third Quarter Summary Results" section and are reconciled to net income (loss) and net income (loss) margin in the addendum of this release.</w:t>
      </w:r>
    </w:p>
    <w:p>
      <w:pPr>
        <w:sectPr>
          <w:pgSz w:w="11900" w:h="16838" w:orient="portrait"/>
          <w:cols w:equalWidth="0" w:num="1">
            <w:col w:w="11240"/>
          </w:cols>
          <w:pgMar w:left="320" w:top="360" w:right="339" w:bottom="1440" w:gutter="0" w:footer="0" w:header="0"/>
          <w:type w:val="continuous"/>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20"/>
          <w:szCs w:val="20"/>
          <w:color w:val="auto"/>
        </w:rPr>
        <w:t>Non-GAAP adjusted EBITDA for the quarter was $5.8 million, compared to $11.0 million in the prior-year period, resulting in adjusted EBITDA margins of 7.6% and 12.4%, respectively. Adjusted EBITDA and adjusted EBITDA margin exclude depreciation and amortization, net interest expense, income taxes, impairment charges, stock-based compensation expense, transformation costs, restructuring costs, strategic transaction costs, gain/loss from foreign currency transactions, loss on extinguishment of debt, gain/loss on divestiture of business, and other items as presented in the accompanying tables.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and Liquidity</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As of September 30, 2026, cash, cash equivalents and restricted cash totaled $19.5 million, including $0.2 million in restricted cash. Net cash used during the third quarter of 2026 included payments related to the Company's restructuring plan of $3.0 million and payments for strategic transaction costs of $1.9 million primarily related to the divestiture of the Movies business.</w:t>
      </w:r>
    </w:p>
    <w:p>
      <w:pPr>
        <w:spacing w:after="0" w:line="4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September 30, 2026, the Company's only debt obligations consisted of outstanding principal on finance leases related to equipment purchases. The Company repaid all outstanding obligations under its senior secured credit facility in May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Outlook</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Mary Margaret Curry, Comscore's Chief Financial Officer, concluded, "We are in the early innings of executing our ROI strategy, which is rooted in building a foundation for long-term value creation, and we are already seeing signs of progress. Our outlook for the full year 2026 is unchanged, with revenue expected to be between $315 million and $325 million and an adjusted EBITDA margin in the low-to-mid single digits. We remain focused on our transformation efforts as we close out the year, and we are on track to generate the $20 to $25 million in annual run-rate cost savings we expected from our realignment plan. We plan to use a portion of these savings to execute our ROI strategy and invest in long-term growth opportunities as we move into 2027."</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does not provide GAAP net income (loss) or net income (loss) margin on a forward-looking basis because it is unable to predict with reasonable certainty its future stock-based compensation expense, fair value adjustments, litigation and restructuring expense, strategic transaction costs, foreign currency transaction impact, and any unusual gains or losses without unreasonable effort. These items are uncertain, depend on various factors, and could be material to results computed in accordance with GAAP. For this reason, the Company is unable without unreasonable effort to provide a reconciliation of adjusted EBITDA or adjusted EBITDA margin to the most directly comparable GAAP measure, GAAP net income (loss) and net income (loss) margin, on a forward-looking basis.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 for Today, Tuesday, November 3, 2026 at 5:00 p.m. ET</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Management will host a conference call to discuss the results on Tuesday, November 3, 2026 at 5:00 p.m. ET. The live audio webcast along with supplemental information will be accessible at ir.comscore.com/events-presentations. Participants can obtain dial-in information by registering for the call at the same web address and are advised to register in advance of the call to avoid delays. Following the conference call, a replay will be available via webcast at ir.comscore.com/events-presentations.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Comscore</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Comscore is a trusted global partner for planning, activating and evaluating media across platforms. Its unmatched data footprint brings together Connected TV (CTV), digital, national and local linear TV intelligence with advanced audience insights to help media buyers and sellers understand how audiences engage across screens and make business decisions with confidence. Comscore is a preeminent provider of independent, comprehensive cross-platform measurement and decisioning solutions designed to improve outcomes at scale.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federal and state securities laws, including, without limitation, the Company's expectations, forecasts, plans and opinions regarding future value creation; the timing, scope and impact of the Company's realignment plan and ROI-based operating model; the amount and potential use of expected cost savings from the realignment plan; planned operational improvements; future growth opportunities and investments; and full year 2026 revenue and adjusted EBITDA performance. These statements involve risks and</w:t>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20"/>
          <w:szCs w:val="20"/>
          <w:color w:val="auto"/>
        </w:rPr>
        <w:t>uncertainties that could cause actual events to differ materially from expectations, including, but not limited to, impediments to the Company's ability to execute the realignment plan as currently contemplated; higher-than-expected costs to implement the plan; changes to the assumptions upon which the estimated charges and savings are based; unintended consequences from the plan that could negatively impact the Company's business or strategy; cash flow and liquidity challenges related to plan implementation and the loss of non-strategic revenue; changes in the Company's business, customer or vendor relationships, including evolving restrictions on data collection and matching; litigation and regulatory costs; external market conditions; and the Company's ability to achieve its expected strategic, financial and operational plans. For additional discussion of risk factors, please refer to the Company's Annual Reports on Form 10-K, Quarterly Reports on Form 10-Q, and other filings that the Company makes from time to time with the U.S. Securities and Exchange Commission (the "SEC"), which are available on the SEC's website (www.sec.gov).</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Investors are cautioned not to place undue reliance on the Company's forward-looking statements, which speak only as of the date such statements are made. Except as required by law, the Company does not intend or undertake, and expressly disclaims any duty or obligation, to publicly update any forward-looking statements to reflect events, circumstances or new information after the date of this press release or to reflect the occurrence of unanticipated events.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To provide investors with additional information regarding the Company's financial results, the Company is disclosing in this press release adjusted EBITDA and adjusted EBITDA margin, which are non-GAAP financial measures used by management to understand and evaluate the Company's core operating performance and trends. Management believes that these non-GAAP financial measures provide useful information to investors and others in understanding and evaluating the Company's operating results, as they permit investors to view core business performance using the same metrics that management uses to evaluate performance. Nevertheless, the Company's use of these non-GAAP financial measures has limitations as an analytical tool, and investors should not consider these measures in isolation or as a substitute for analysis of the Company's results as reported under GAAP. Instead, investors should consider these measures alongside GAAP-based financial performance measures, net income (loss), net income (loss) margin, various cash flow metrics, and the Company's other GAAP financial results. Set forth below are reconciliations of these non-GAAP financial measures to their most directly comparable GAAP financial measures, net income (loss) and net income (loss) margin. These reconciliations should be carefully evaluated.</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Marie Scoutas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Comscore, Inc.</w:t>
      </w:r>
    </w:p>
    <w:p>
      <w:pPr>
        <w:spacing w:after="0" w:line="27" w:lineRule="exact"/>
        <w:rPr>
          <w:sz w:val="20"/>
          <w:szCs w:val="20"/>
          <w:color w:val="auto"/>
        </w:rPr>
      </w:pPr>
    </w:p>
    <w:p>
      <w:pPr>
        <w:jc w:val="center"/>
        <w:ind w:left="20" w:right="9460" w:firstLine="6"/>
        <w:spacing w:after="0" w:line="323" w:lineRule="auto"/>
        <w:tabs>
          <w:tab w:leader="none" w:pos="49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213-2032 Press@comscore.com</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Jackie Marcus or Nick Nelson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Alpha IR Group</w:t>
      </w:r>
    </w:p>
    <w:p>
      <w:pPr>
        <w:spacing w:after="0" w:line="27" w:lineRule="exact"/>
        <w:rPr>
          <w:sz w:val="20"/>
          <w:szCs w:val="20"/>
          <w:color w:val="auto"/>
        </w:rPr>
      </w:pPr>
    </w:p>
    <w:p>
      <w:pPr>
        <w:ind w:left="20" w:right="9240" w:firstLine="6"/>
        <w:spacing w:after="0" w:line="323" w:lineRule="auto"/>
        <w:tabs>
          <w:tab w:leader="none" w:pos="49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466-9257 Investor@comscore.com</w:t>
      </w:r>
    </w:p>
    <w:p>
      <w:pPr>
        <w:sectPr>
          <w:pgSz w:w="11900" w:h="16838" w:orient="portrait"/>
          <w:cols w:equalWidth="0" w:num="1">
            <w:col w:w="11240"/>
          </w:cols>
          <w:pgMar w:left="320" w:top="900"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6"/>
                <w:szCs w:val="16"/>
                <w:color w:val="auto"/>
              </w:rPr>
            </w:pPr>
          </w:p>
        </w:tc>
        <w:tc>
          <w:tcPr>
            <w:tcW w:w="13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8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23,621</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$518 and $496, respectively</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57,260</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96,270</w:t>
            </w: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w:t>
            </w: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248,636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0" w:type="dxa"/>
            <w:vAlign w:val="bottom"/>
          </w:tcPr>
          <w:p>
            <w:pPr>
              <w:spacing w:after="0"/>
              <w:rPr>
                <w:sz w:val="1"/>
                <w:szCs w:val="1"/>
                <w:color w:val="auto"/>
              </w:rPr>
            </w:pPr>
          </w:p>
        </w:tc>
      </w:tr>
      <w:tr>
        <w:trPr>
          <w:trHeight w:val="212"/>
        </w:trPr>
        <w:tc>
          <w:tcPr>
            <w:tcW w:w="8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255,013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407,709</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Redeemable Preferred Stock and Stockholders' Equity</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16,956</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44,879</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7,605</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122,891</w:t>
            </w: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Secured term loan</w:t>
            </w: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39,297</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Non-current portion of accrued data costs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24,917</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Non-current payable to preferred stockholders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6,751</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141,009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206,548</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Series C convertible redeemable preferred stock, $0.001 par value; 12,670,863 shares authorized, issued and outstanding as</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of September 30, 2026 and December 31, 2025; aggregate liquidation preference of $183,728 as of September 30, 2026 and</w:t>
            </w:r>
          </w:p>
        </w:tc>
        <w:tc>
          <w:tcPr>
            <w:tcW w:w="1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89,654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89,722</w:t>
            </w: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1,329,137 shares authorized as of September 30, 2026 and December 31, 2025; no</w:t>
            </w:r>
          </w:p>
        </w:tc>
        <w:tc>
          <w:tcPr>
            <w:tcW w:w="120" w:type="dxa"/>
            <w:vAlign w:val="bottom"/>
          </w:tcPr>
          <w:p>
            <w:pPr>
              <w:spacing w:after="0"/>
              <w:rPr>
                <w:sz w:val="14"/>
                <w:szCs w:val="14"/>
                <w:color w:val="auto"/>
              </w:rPr>
            </w:pP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issued or outstanding as of September 30, 2026 or December 31, 2025</w:t>
            </w:r>
          </w:p>
        </w:tc>
        <w:tc>
          <w:tcPr>
            <w:tcW w:w="1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$0.001 par value; 46,000,000 shares authorized as of September 30, 2026 and December 31, 2025;</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15,586,003 shares issued and 15,247,764 shares outstanding as of September 30, 2026, and 15,214,378 shares issued</w:t>
            </w:r>
          </w:p>
        </w:tc>
        <w:tc>
          <w:tcPr>
            <w:tcW w:w="1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and 14,876,139 shares outstanding as of December 31, 2025</w:t>
            </w: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1,784,117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1,781,265</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(1,516,523)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(1,429,995)</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338,239 shares as of September 30, 2026 and December 31, 2025</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(229,984)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(229,984)</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111,439</w:t>
            </w:r>
          </w:p>
        </w:tc>
        <w:tc>
          <w:tcPr>
            <w:tcW w:w="0" w:type="dxa"/>
            <w:vAlign w:val="bottom"/>
          </w:tcPr>
          <w:p>
            <w:pPr>
              <w:spacing w:after="0"/>
              <w:rPr>
                <w:sz w:val="1"/>
                <w:szCs w:val="1"/>
                <w:color w:val="auto"/>
              </w:rPr>
            </w:pPr>
          </w:p>
        </w:tc>
      </w:tr>
      <w:tr>
        <w:trPr>
          <w:trHeight w:val="237"/>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liabilities, convertible redeemable preferred stock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255,013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407,709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60" w:top="765" w:right="359" w:bottom="1440" w:gutter="0" w:footer="0" w:header="0"/>
        </w:sectPr>
      </w:pPr>
    </w:p>
    <w:bookmarkStart w:id="7" w:name="page8"/>
    <w:bookmarkEnd w:id="7"/>
    <w:p>
      <w:pPr>
        <w:ind w:left="5180"/>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7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24"/>
                <w:szCs w:val="24"/>
                <w:color w:val="auto"/>
              </w:rPr>
            </w:pPr>
          </w:p>
        </w:tc>
        <w:tc>
          <w:tcPr>
            <w:tcW w:w="268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240,726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264,004</w:t>
            </w:r>
          </w:p>
        </w:tc>
        <w:tc>
          <w:tcPr>
            <w:tcW w:w="0" w:type="dxa"/>
            <w:vAlign w:val="bottom"/>
          </w:tcPr>
          <w:p>
            <w:pPr>
              <w:spacing w:after="0"/>
              <w:rPr>
                <w:sz w:val="1"/>
                <w:szCs w:val="1"/>
                <w:color w:val="auto"/>
              </w:rPr>
            </w:pPr>
          </w:p>
        </w:tc>
      </w:tr>
      <w:tr>
        <w:trPr>
          <w:trHeight w:val="199"/>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1"/>
                <w:szCs w:val="21"/>
                <w:color w:val="auto"/>
                <w:vertAlign w:val="superscript"/>
              </w:rPr>
              <w:t>(1) (2)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157,629</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Selling and marketing </w:t>
            </w:r>
            <w:r>
              <w:rPr>
                <w:rFonts w:ascii="Times New Roman" w:cs="Times New Roman" w:eastAsia="Times New Roman" w:hAnsi="Times New Roman"/>
                <w:sz w:val="21"/>
                <w:szCs w:val="21"/>
                <w:color w:val="auto"/>
                <w:vertAlign w:val="superscript"/>
              </w:rPr>
              <w:t>(1) (2)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(1) (2)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23,106</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 (2)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divestiture of business,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142,921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323,989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266,046</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(83,263)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from foreign currency transactions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(65,944)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(12,462)</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available to common stockholders:</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(13,032)</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redeemable preferred stock dividends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(13,904)</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loss available to common stockholders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162"/>
        </w:trPr>
        <w:tc>
          <w:tcPr>
            <w:tcW w:w="5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number of shares used in per share calculation - Common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15,387,694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5,252,039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15,257,019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5,136,696</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(13,032)</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cumulative translation adjustment</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7,590</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 income</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(65,974)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(89,496)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hanging="154"/>
        <w:spacing w:after="0"/>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amortization of intangible assets, which is presented as a separate line item.</w:t>
      </w:r>
    </w:p>
    <w:p>
      <w:pPr>
        <w:spacing w:after="0" w:line="23"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Stock-based compensation expense is included in the line items above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w:t>
            </w:r>
          </w:p>
        </w:tc>
      </w:tr>
      <w:tr>
        <w:trPr>
          <w:trHeight w:val="237"/>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20" w:type="dxa"/>
            <w:vAlign w:val="bottom"/>
            <w:tcBorders>
              <w:bottom w:val="single" w:sz="8" w:color="CCEEFF"/>
            </w:tcBorders>
            <w:gridSpan w:val="2"/>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(86,528)</w:t>
            </w:r>
          </w:p>
        </w:tc>
        <w:tc>
          <w:tcPr>
            <w:tcW w:w="8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Impairment of goodwill</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Non-cash loss on extinguishment of debt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Amortization expense of finance leases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divestiture of business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tax (benefit) provision</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Contract liabilities and customer advances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1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divestiture of business, net of cash transferred</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(16,689)</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payments of term loan</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payments on insurance financing</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preferred stock and common stock issuance costs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Contingent consideration payment at initial value</w:t>
            </w:r>
          </w:p>
        </w:tc>
        <w:tc>
          <w:tcPr>
            <w:tcW w:w="9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financing and debt issuance costs</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26,800</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44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1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following table presents a reconciliation of GAAP net (loss) income and net (loss) income margin to non-GAAP adjusted EBITDA and adjusted EBITDA margin for each of the periods identified: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88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2026 (Unaudited)</w:t>
            </w: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 (Unaudited)</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2026 (Unaudited)</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 (Unaudited)</w:t>
            </w:r>
          </w:p>
        </w:tc>
        <w:tc>
          <w:tcPr>
            <w:tcW w:w="0" w:type="dxa"/>
            <w:vAlign w:val="bottom"/>
          </w:tcPr>
          <w:p>
            <w:pPr>
              <w:spacing w:after="0"/>
              <w:rPr>
                <w:sz w:val="1"/>
                <w:szCs w:val="1"/>
                <w:color w:val="auto"/>
              </w:rPr>
            </w:pPr>
          </w:p>
        </w:tc>
      </w:tr>
      <w:tr>
        <w:trPr>
          <w:trHeight w:val="21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(loss)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(65,495)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(86,528)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(13,032)</w:t>
            </w:r>
          </w:p>
        </w:tc>
        <w:tc>
          <w:tcPr>
            <w:tcW w:w="0" w:type="dxa"/>
            <w:vAlign w:val="bottom"/>
          </w:tcPr>
          <w:p>
            <w:pPr>
              <w:spacing w:after="0"/>
              <w:rPr>
                <w:sz w:val="1"/>
                <w:szCs w:val="1"/>
                <w:color w:val="auto"/>
              </w:rPr>
            </w:pPr>
          </w:p>
        </w:tc>
      </w:tr>
      <w:tr>
        <w:trPr>
          <w:trHeight w:val="199"/>
        </w:trPr>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17,650</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expense of finance leases</w:t>
            </w: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2,794</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5,010</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07"/>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(58,744)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9,387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(62,186)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14,889</w:t>
            </w:r>
          </w:p>
        </w:tc>
        <w:tc>
          <w:tcPr>
            <w:tcW w:w="0" w:type="dxa"/>
            <w:vAlign w:val="bottom"/>
          </w:tcPr>
          <w:p>
            <w:pPr>
              <w:spacing w:after="0"/>
              <w:rPr>
                <w:sz w:val="1"/>
                <w:szCs w:val="1"/>
                <w:color w:val="auto"/>
              </w:rPr>
            </w:pPr>
          </w:p>
        </w:tc>
      </w:tr>
      <w:tr>
        <w:trPr>
          <w:trHeight w:val="199"/>
        </w:trPr>
        <w:tc>
          <w:tcPr>
            <w:tcW w:w="5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goodwill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w:t>
            </w: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2,863</w:t>
            </w:r>
          </w:p>
        </w:tc>
        <w:tc>
          <w:tcPr>
            <w:tcW w:w="0" w:type="dxa"/>
            <w:vAlign w:val="bottom"/>
          </w:tcPr>
          <w:p>
            <w:pPr>
              <w:spacing w:after="0"/>
              <w:rPr>
                <w:sz w:val="1"/>
                <w:szCs w:val="1"/>
                <w:color w:val="auto"/>
              </w:rPr>
            </w:pPr>
          </w:p>
        </w:tc>
      </w:tr>
      <w:tr>
        <w:trPr>
          <w:trHeight w:val="216"/>
        </w:trPr>
        <w:tc>
          <w:tcPr>
            <w:tcW w:w="51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Strategic transaction costs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from foreign currency transactions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5,410</w:t>
            </w:r>
          </w:p>
        </w:tc>
        <w:tc>
          <w:tcPr>
            <w:tcW w:w="0" w:type="dxa"/>
            <w:vAlign w:val="bottom"/>
          </w:tcPr>
          <w:p>
            <w:pPr>
              <w:spacing w:after="0"/>
              <w:rPr>
                <w:sz w:val="1"/>
                <w:szCs w:val="1"/>
                <w:color w:val="auto"/>
              </w:rPr>
            </w:pPr>
          </w:p>
        </w:tc>
      </w:tr>
      <w:tr>
        <w:trPr>
          <w:trHeight w:val="216"/>
        </w:trPr>
        <w:tc>
          <w:tcPr>
            <w:tcW w:w="51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Transformation costs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cloud-computing implementation costs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213"/>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divestiture of business,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5,819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11,035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12,208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27,320</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(loss) income margin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81"/>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Non-GAAP adjusted EBITDA margin </w:t>
            </w:r>
            <w:r>
              <w:rPr>
                <w:rFonts w:ascii="Times New Roman" w:cs="Times New Roman" w:eastAsia="Times New Roman" w:hAnsi="Times New Roman"/>
                <w:sz w:val="21"/>
                <w:szCs w:val="21"/>
                <w:color w:val="auto"/>
                <w:vertAlign w:val="superscript"/>
              </w:rPr>
              <w:t>(4)</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right="20" w:firstLine="8"/>
        <w:spacing w:after="0" w:line="230" w:lineRule="auto"/>
        <w:tabs>
          <w:tab w:leader="none" w:pos="159"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Strategic transaction costs represent third-party professional fees and other charges incurred in connection with strategic transactions, including mergers, acquisitions, financings and dispositions, regardless of whether consummated, which the Company otherwise would not have incurred as part of its normal business operations.</w:t>
      </w:r>
    </w:p>
    <w:p>
      <w:pPr>
        <w:jc w:val="both"/>
        <w:ind w:firstLine="8"/>
        <w:spacing w:after="0" w:line="411" w:lineRule="auto"/>
        <w:tabs>
          <w:tab w:leader="none" w:pos="132"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Transformation costs represent (1) expenses incurred prior to formal launch of identified strategic projects with anticipated long-term benefits to the Company, generally relating to third-party professional fees and non-capitalizable technology costs tied directly to the identified projects and (2) severance costs associated with the reorganization of teams in connection with the identified projects.</w:t>
      </w:r>
    </w:p>
    <w:p>
      <w:pPr>
        <w:ind w:firstLine="8"/>
        <w:spacing w:after="0"/>
        <w:tabs>
          <w:tab w:leader="none" w:pos="132"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Net (loss) income margin is calculated by dividing net (loss) income by revenues reported on the Condensed Consolidated Statements of Operations and Comprehensive (Loss) Income for the applicable period.</w:t>
      </w:r>
    </w:p>
    <w:p>
      <w:pPr>
        <w:spacing w:after="0" w:line="178" w:lineRule="exact"/>
        <w:rPr>
          <w:rFonts w:ascii="Times New Roman" w:cs="Times New Roman" w:eastAsia="Times New Roman" w:hAnsi="Times New Roman"/>
          <w:sz w:val="15"/>
          <w:szCs w:val="15"/>
          <w:color w:val="auto"/>
          <w:vertAlign w:val="superscript"/>
        </w:rPr>
      </w:pPr>
    </w:p>
    <w:p>
      <w:pPr>
        <w:ind w:right="20" w:firstLine="8"/>
        <w:spacing w:after="0" w:line="220" w:lineRule="auto"/>
        <w:tabs>
          <w:tab w:leader="none" w:pos="152"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Non-GAAP adjusted EBITDA margin is calculated by dividing adjusted EBITDA by revenues reported on the Condensed Consolidated Statements of Operations and Comprehensive (Loss) Income for the applicable period.</w:t>
      </w:r>
    </w:p>
    <w:p>
      <w:pPr>
        <w:sectPr>
          <w:pgSz w:w="11900" w:h="16838" w:orient="portrait"/>
          <w:cols w:equalWidth="0" w:num="1">
            <w:col w:w="11240"/>
          </w:cols>
          <w:pgMar w:left="320" w:top="6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Revenues from the Company's offerings of products and services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2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3700" w:type="dxa"/>
            <w:vAlign w:val="bottom"/>
            <w:vMerge w:val="continue"/>
          </w:tcPr>
          <w:p>
            <w:pPr>
              <w:spacing w:after="0"/>
              <w:rPr>
                <w:sz w:val="16"/>
                <w:szCs w:val="16"/>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2026 (Unaudited)</w:t>
            </w:r>
          </w:p>
        </w:tc>
        <w:tc>
          <w:tcPr>
            <w:tcW w:w="13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2025 (Unaudited)</w:t>
            </w:r>
          </w:p>
        </w:tc>
        <w:tc>
          <w:tcPr>
            <w:tcW w:w="124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Syndicated Audience </w:t>
            </w:r>
            <w:r>
              <w:rPr>
                <w:rFonts w:ascii="Times New Roman" w:cs="Times New Roman" w:eastAsia="Times New Roman" w:hAnsi="Times New Roman"/>
                <w:sz w:val="21"/>
                <w:szCs w:val="21"/>
                <w:color w:val="auto"/>
                <w:vertAlign w:val="superscript"/>
              </w:rPr>
              <w:t>(1)</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52,442</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68.9 %</w:t>
            </w:r>
          </w:p>
        </w:tc>
        <w:tc>
          <w:tcPr>
            <w:tcW w:w="8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63,220</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71.1 %</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Cross-Platform</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12,299</w:t>
            </w:r>
          </w:p>
        </w:tc>
        <w:tc>
          <w:tcPr>
            <w:tcW w:w="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Content &amp; Ad Measurement</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64,628</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75,519</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11,530</w:t>
            </w:r>
          </w:p>
        </w:tc>
        <w:tc>
          <w:tcPr>
            <w:tcW w:w="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76,158</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88,906</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right="20" w:firstLine="6"/>
        <w:spacing w:after="0" w:line="210" w:lineRule="auto"/>
        <w:tabs>
          <w:tab w:leader="none" w:pos="169"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Syndicated Audience revenue includes revenue from the Movies business of $9.5 million in the third quarter of 2025. No Movies revenue was included in the third quarter of 2026 due to the divestiture of the Movies business on May 27, 2026.</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120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2026 (Unaudited)</w:t>
            </w:r>
          </w:p>
        </w:tc>
        <w:tc>
          <w:tcPr>
            <w:tcW w:w="13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2025 (Unaudited)</w:t>
            </w:r>
          </w:p>
        </w:tc>
        <w:tc>
          <w:tcPr>
            <w:tcW w:w="12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Syndicated Audience </w:t>
            </w:r>
            <w:r>
              <w:rPr>
                <w:rFonts w:ascii="Times New Roman" w:cs="Times New Roman" w:eastAsia="Times New Roman" w:hAnsi="Times New Roman"/>
                <w:sz w:val="21"/>
                <w:szCs w:val="21"/>
                <w:color w:val="auto"/>
                <w:vertAlign w:val="superscript"/>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168,202</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69.9 %</w:t>
            </w:r>
          </w:p>
        </w:tc>
        <w:tc>
          <w:tcPr>
            <w:tcW w:w="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190,677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Cross-Platform</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37,316</w:t>
            </w:r>
          </w:p>
        </w:tc>
        <w:tc>
          <w:tcPr>
            <w:tcW w:w="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34,761</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Content &amp; Ad Measurement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205,518</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225,438</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35,208</w:t>
            </w:r>
          </w:p>
        </w:tc>
        <w:tc>
          <w:tcPr>
            <w:tcW w:w="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38,566</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240,726</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264,004</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(23,278)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0" w:right="100" w:firstLine="7"/>
        <w:spacing w:after="0" w:line="219" w:lineRule="auto"/>
        <w:tabs>
          <w:tab w:leader="none" w:pos="252"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Syndicated Audience revenue includes revenue from the Movies business, which decreased from $28.5 million in the nine months ended September 30, 2025 to $16.2 million in the nine months ended September 30, 2026 due to the divestiture of the Movies business on May 27, 2026.</w:t>
      </w:r>
    </w:p>
    <w:sectPr>
      <w:pgSz w:w="11900" w:h="16838" w:orient="portrait"/>
      <w:cols w:equalWidth="0" w:num="1">
        <w:col w:w="11240"/>
      </w:cols>
      <w:pgMar w:left="320" w:top="6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decimal"/>
      <w:start w:val="917"/>
    </w:lvl>
  </w:abstractNum>
  <w:abstractNum w:abstractNumId="5">
    <w:nsid w:val="7545E146"/>
    <w:multiLevelType w:val="hybridMultilevel"/>
    <w:lvl w:ilvl="0">
      <w:lvlJc w:val="left"/>
      <w:lvlText w:val="(%1)"/>
      <w:numFmt w:val="decimal"/>
      <w:start w:val="617"/>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2026-11-03T15:27:57Z</dcterms:created>
  <dcterms:modified xsi:type="dcterms:W3CDTF">2026-11-03T15:27:57Z</dcterms:modified>
</cp:coreProperties>
</file>