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center"/>
        <w:rPr>
          <w:rFonts w:ascii="Times New Roman;serif" w:hAnsi="Times New Roman;serif"/>
          <w:b/>
          <w:color w:val="000000"/>
          <w:sz w:val="36"/>
        </w:rPr>
      </w:pPr>
      <w:r>
        <w:rPr>
          <w:rFonts w:ascii="Times New Roman;serif" w:hAnsi="Times New Roman;serif"/>
          <w:b/>
          <w:color w:val="000000"/>
          <w:sz w:val="36"/>
        </w:rPr>
        <w:t xml:space="preserve">FORM 8-K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Pursuant to Section 13 or 15(d)</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of the Securities Exchange Act of 1934</w:t>
      </w:r>
    </w:p>
    <w:p>
      <w:pPr>
        <w:pStyle w:val="TextBody"/>
        <w:bidi w:val="0"/>
        <w:spacing w:lineRule="auto" w:line="288" w:before="240" w:after="283"/>
        <w:jc w:val="center"/>
        <w:rPr>
          <w:rFonts w:ascii="Times New Roman;serif" w:hAnsi="Times New Roman;serif"/>
          <w:b/>
          <w:color w:val="000000"/>
          <w:sz w:val="24"/>
        </w:rPr>
      </w:pPr>
      <w:r>
        <w:rPr>
          <w:rFonts w:ascii="Times New Roman;serif" w:hAnsi="Times New Roman;serif"/>
          <w:b/>
          <w:color w:val="000000"/>
          <w:sz w:val="24"/>
        </w:rPr>
        <w:t>Date of report (Date of earliest event reported): May 14, 2026</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rFonts w:ascii="Times New Roman;serif" w:hAnsi="Times New Roman;serif"/>
          <w:b/>
          <w:color w:val="000000"/>
          <w:sz w:val="48"/>
        </w:rPr>
      </w:pPr>
      <w:r>
        <w:rPr>
          <w:rFonts w:ascii="Times New Roman;serif" w:hAnsi="Times New Roman;serif"/>
          <w:b/>
          <w:color w:val="000000"/>
          <w:sz w:val="48"/>
        </w:rPr>
        <w:t xml:space="preserve">COMSCORE, INC. </w:t>
      </w:r>
    </w:p>
    <w:p>
      <w:pPr>
        <w:pStyle w:val="TextBody"/>
        <w:bidi w:val="0"/>
        <w:spacing w:lineRule="auto" w:line="288" w:before="0" w:after="0"/>
        <w:jc w:val="center"/>
        <w:rPr/>
      </w:pPr>
      <w:r>
        <w:rPr>
          <w:rFonts w:ascii="Times New Roman;serif" w:hAnsi="Times New Roman;serif"/>
          <w:b/>
          <w:color w:val="000000"/>
          <w:sz w:val="20"/>
        </w:rPr>
        <w:t>(Exact name of registrant as specified in charter)</w:t>
      </w:r>
      <w:r>
        <w:rPr>
          <w:color w:val="000000"/>
        </w:rPr>
        <w:t>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5271" w:type="dxa"/>
        <w:jc w:val="center"/>
        <w:tblInd w:w="0" w:type="dxa"/>
        <w:tblLayout w:type="fixed"/>
        <w:tblCellMar>
          <w:top w:w="28" w:type="dxa"/>
          <w:left w:w="28" w:type="dxa"/>
          <w:bottom w:w="28" w:type="dxa"/>
          <w:right w:w="28" w:type="dxa"/>
        </w:tblCellMar>
      </w:tblPr>
      <w:tblGrid>
        <w:gridCol w:w="748"/>
        <w:gridCol w:w="656"/>
        <w:gridCol w:w="665"/>
        <w:gridCol w:w="109"/>
        <w:gridCol w:w="109"/>
        <w:gridCol w:w="109"/>
        <w:gridCol w:w="353"/>
        <w:gridCol w:w="353"/>
        <w:gridCol w:w="358"/>
        <w:gridCol w:w="109"/>
        <w:gridCol w:w="109"/>
        <w:gridCol w:w="109"/>
        <w:gridCol w:w="433"/>
        <w:gridCol w:w="433"/>
        <w:gridCol w:w="618"/>
      </w:tblGrid>
      <w:tr>
        <w:trPr/>
        <w:tc>
          <w:tcPr>
            <w:tcW w:w="748"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001-33520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54-1955550</w:t>
            </w:r>
          </w:p>
        </w:tc>
      </w:tr>
      <w:tr>
        <w:trPr/>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(State or other jurisdiction</w:t>
              <w:br/>
              <w:t>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(Commission</w:t>
              <w:br/>
              <w:t>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(IRS Employer</w:t>
              <w:br/>
              <w:t>Identification No.)</w:t>
            </w:r>
          </w:p>
        </w:tc>
      </w:tr>
    </w:tbl>
    <w:p>
      <w:pPr>
        <w:pStyle w:val="TextBody"/>
        <w:bidi w:val="0"/>
        <w:spacing w:lineRule="auto" w:line="288" w:before="140" w:after="283"/>
        <w:jc w:val="center"/>
        <w:rPr>
          <w:rFonts w:ascii="Times New Roman;serif" w:hAnsi="Times New Roman;serif"/>
          <w:b/>
          <w:color w:val="000000"/>
          <w:sz w:val="20"/>
        </w:rPr>
      </w:pPr>
      <w:r>
        <w:rPr>
          <w:rFonts w:ascii="Times New Roman;serif" w:hAnsi="Times New Roman;serif"/>
          <w:b/>
          <w:color w:val="000000"/>
          <w:sz w:val="20"/>
        </w:rPr>
        <w:t xml:space="preserve">11950 Democracy Drive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Suite 600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Reston, Virginia 20190 </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(Address of principal executive offices, including zip code)</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 xml:space="preserve">(703) 438–2000 </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(Registrant’s telephone number, including area code)</w:t>
      </w:r>
    </w:p>
    <w:p>
      <w:pPr>
        <w:pStyle w:val="TextBody"/>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N/A</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(Former name or former address, if changed since last report)</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both"/>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tbl>
      <w:tblPr>
        <w:tblW w:w="7751" w:type="dxa"/>
        <w:jc w:val="left"/>
        <w:tblInd w:w="0" w:type="dxa"/>
        <w:tblLayout w:type="fixed"/>
        <w:tblCellMar>
          <w:top w:w="28" w:type="dxa"/>
          <w:left w:w="28" w:type="dxa"/>
          <w:bottom w:w="28" w:type="dxa"/>
          <w:right w:w="28" w:type="dxa"/>
        </w:tblCellMar>
      </w:tblPr>
      <w:tblGrid>
        <w:gridCol w:w="124"/>
        <w:gridCol w:w="109"/>
        <w:gridCol w:w="109"/>
        <w:gridCol w:w="2167"/>
        <w:gridCol w:w="2167"/>
        <w:gridCol w:w="30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30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bl>
    <w:tbl>
      <w:tblPr>
        <w:tblW w:w="7781" w:type="dxa"/>
        <w:jc w:val="left"/>
        <w:tblInd w:w="0" w:type="dxa"/>
        <w:tblLayout w:type="fixed"/>
        <w:tblCellMar>
          <w:top w:w="28" w:type="dxa"/>
          <w:left w:w="28" w:type="dxa"/>
          <w:bottom w:w="28" w:type="dxa"/>
          <w:right w:w="28" w:type="dxa"/>
        </w:tblCellMar>
      </w:tblPr>
      <w:tblGrid>
        <w:gridCol w:w="124"/>
        <w:gridCol w:w="109"/>
        <w:gridCol w:w="109"/>
        <w:gridCol w:w="2175"/>
        <w:gridCol w:w="2175"/>
        <w:gridCol w:w="3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3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bl>
    <w:tbl>
      <w:tblPr>
        <w:tblW w:w="9522" w:type="dxa"/>
        <w:jc w:val="left"/>
        <w:tblInd w:w="0" w:type="dxa"/>
        <w:tblLayout w:type="fixed"/>
        <w:tblCellMar>
          <w:top w:w="28" w:type="dxa"/>
          <w:left w:w="28" w:type="dxa"/>
          <w:bottom w:w="28" w:type="dxa"/>
          <w:right w:w="28" w:type="dxa"/>
        </w:tblCellMar>
      </w:tblPr>
      <w:tblGrid>
        <w:gridCol w:w="124"/>
        <w:gridCol w:w="109"/>
        <w:gridCol w:w="109"/>
        <w:gridCol w:w="2689"/>
        <w:gridCol w:w="2689"/>
        <w:gridCol w:w="380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380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bl>
    <w:tbl>
      <w:tblPr>
        <w:tblW w:w="9461" w:type="dxa"/>
        <w:jc w:val="left"/>
        <w:tblInd w:w="0" w:type="dxa"/>
        <w:tblLayout w:type="fixed"/>
        <w:tblCellMar>
          <w:top w:w="28" w:type="dxa"/>
          <w:left w:w="28" w:type="dxa"/>
          <w:bottom w:w="28" w:type="dxa"/>
          <w:right w:w="28" w:type="dxa"/>
        </w:tblCellMar>
      </w:tblPr>
      <w:tblGrid>
        <w:gridCol w:w="124"/>
        <w:gridCol w:w="109"/>
        <w:gridCol w:w="109"/>
        <w:gridCol w:w="2671"/>
        <w:gridCol w:w="2671"/>
        <w:gridCol w:w="377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377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8452" w:type="dxa"/>
        <w:jc w:val="center"/>
        <w:tblInd w:w="0" w:type="dxa"/>
        <w:tblLayout w:type="fixed"/>
        <w:tblCellMar>
          <w:top w:w="28" w:type="dxa"/>
          <w:left w:w="28" w:type="dxa"/>
          <w:bottom w:w="28" w:type="dxa"/>
          <w:right w:w="28" w:type="dxa"/>
        </w:tblCellMar>
      </w:tblPr>
      <w:tblGrid>
        <w:gridCol w:w="1151"/>
        <w:gridCol w:w="1015"/>
        <w:gridCol w:w="1029"/>
        <w:gridCol w:w="109"/>
        <w:gridCol w:w="109"/>
        <w:gridCol w:w="109"/>
        <w:gridCol w:w="414"/>
        <w:gridCol w:w="414"/>
        <w:gridCol w:w="416"/>
        <w:gridCol w:w="109"/>
        <w:gridCol w:w="109"/>
        <w:gridCol w:w="109"/>
        <w:gridCol w:w="983"/>
        <w:gridCol w:w="983"/>
        <w:gridCol w:w="1393"/>
      </w:tblGrid>
      <w:tr>
        <w:trPr/>
        <w:tc>
          <w:tcPr>
            <w:tcW w:w="1151"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1393" w:type="dxa"/>
            <w:tcBorders/>
            <w:vAlign w:val="center"/>
          </w:tcPr>
          <w:p>
            <w:pPr>
              <w:pStyle w:val="TableContents"/>
              <w:bidi w:val="0"/>
              <w:spacing w:before="0" w:after="283"/>
              <w:jc w:val="left"/>
              <w:rPr>
                <w:sz w:val="4"/>
                <w:szCs w:val="4"/>
              </w:rPr>
            </w:pPr>
            <w:r>
              <w:rPr>
                <w:sz w:val="4"/>
                <w:szCs w:val="4"/>
              </w:rPr>
            </w:r>
          </w:p>
        </w:tc>
      </w:tr>
      <w:tr>
        <w:trPr/>
        <w:tc>
          <w:tcPr>
            <w:tcW w:w="31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Trading Symbol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Name of Each Exchange on Which Registered</w:t>
            </w:r>
          </w:p>
        </w:tc>
      </w:tr>
      <w:tr>
        <w:trPr/>
        <w:tc>
          <w:tcPr>
            <w:tcW w:w="31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Common Stock, par value $0.001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SCOR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NASDAQ Global Select Market</w:t>
            </w:r>
          </w:p>
        </w:tc>
      </w:tr>
    </w:tbl>
    <w:p>
      <w:pPr>
        <w:pStyle w:val="TextBody"/>
        <w:bidi w:val="0"/>
        <w:spacing w:lineRule="auto" w:line="288" w:before="140" w:after="283"/>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40" w:before="240" w:after="283"/>
        <w:jc w:val="both"/>
        <w:rPr/>
      </w:pPr>
      <w:r>
        <w:rPr>
          <w:rFonts w:ascii="Times New Roman;serif" w:hAnsi="Times New Roman;serif"/>
          <w:b w:val="false"/>
          <w:color w:val="000000"/>
          <w:sz w:val="20"/>
        </w:rPr>
        <w:t xml:space="preserve">Emerging growth company </w:t>
      </w:r>
      <w:r>
        <w:rPr>
          <w:color w:val="000000"/>
        </w:rPr>
        <w:t xml:space="preserve">☐ </w:t>
      </w:r>
    </w:p>
    <w:p>
      <w:pPr>
        <w:pStyle w:val="TextBody"/>
        <w:bidi w:val="0"/>
        <w:spacing w:lineRule="auto" w:line="240" w:before="240" w:after="283"/>
        <w:jc w:val="both"/>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46685"/>
                <wp:effectExtent l="0" t="0" r="0" b="0"/>
                <wp:wrapNone/>
                <wp:docPr id="1" name="Frame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100"/>
        <w:jc w:val="left"/>
        <w:rPr>
          <w:rFonts w:ascii="Times New Roman;serif" w:hAnsi="Times New Roman;serif"/>
          <w:b/>
          <w:color w:val="000000"/>
          <w:sz w:val="20"/>
        </w:rPr>
      </w:pPr>
      <w:r>
        <w:rPr>
          <w:rFonts w:ascii="Times New Roman;serif" w:hAnsi="Times New Roman;serif"/>
          <w:b/>
          <w:color w:val="000000"/>
          <w:sz w:val="20"/>
        </w:rPr>
        <w:t>Item 2.02 Results of Operations and Financial Condition.</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On May 14, 2026, comScore, Inc. issued a press release announcing its financial results for the period ended March 31, 2026. A copy of the press release announcing the foregoing is furnished as Exhibit 99.1 hereto and is incorporated herein by reference.</w:t>
      </w:r>
    </w:p>
    <w:p>
      <w:pPr>
        <w:pStyle w:val="TextBody"/>
        <w:bidi w:val="0"/>
        <w:spacing w:lineRule="auto" w:line="288" w:before="100" w:after="100"/>
        <w:jc w:val="both"/>
        <w:rPr>
          <w:rFonts w:ascii="Times New Roman;serif" w:hAnsi="Times New Roman;serif"/>
          <w:b w:val="false"/>
          <w:color w:val="000000"/>
          <w:sz w:val="20"/>
        </w:rPr>
      </w:pPr>
      <w:r>
        <w:rPr>
          <w:rFonts w:ascii="Times New Roman;serif" w:hAnsi="Times New Roman;serif"/>
          <w:b w:val="false"/>
          <w:color w:val="000000"/>
          <w:sz w:val="20"/>
        </w:rPr>
        <w:t>The information in this Item 2.02, including Exhibit 99.1 attached hereto, is being furnished and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 regardless of any general incorporation language in such filing.</w:t>
      </w:r>
    </w:p>
    <w:p>
      <w:pPr>
        <w:pStyle w:val="TextBody"/>
        <w:bidi w:val="0"/>
        <w:spacing w:lineRule="auto" w:line="288" w:before="240" w:after="100"/>
        <w:jc w:val="both"/>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(d) Exhibits.</w:t>
      </w:r>
    </w:p>
    <w:tbl>
      <w:tblPr>
        <w:tblW w:w="10205" w:type="dxa"/>
        <w:jc w:val="center"/>
        <w:tblInd w:w="0" w:type="dxa"/>
        <w:tblLayout w:type="fixed"/>
        <w:tblCellMar>
          <w:top w:w="28" w:type="dxa"/>
          <w:left w:w="28" w:type="dxa"/>
          <w:bottom w:w="28" w:type="dxa"/>
          <w:right w:w="28" w:type="dxa"/>
        </w:tblCellMar>
      </w:tblPr>
      <w:tblGrid>
        <w:gridCol w:w="342"/>
        <w:gridCol w:w="301"/>
        <w:gridCol w:w="303"/>
        <w:gridCol w:w="109"/>
        <w:gridCol w:w="109"/>
        <w:gridCol w:w="109"/>
        <w:gridCol w:w="2657"/>
        <w:gridCol w:w="2589"/>
        <w:gridCol w:w="3686"/>
      </w:tblGrid>
      <w:tr>
        <w:trPr/>
        <w:tc>
          <w:tcPr>
            <w:tcW w:w="342"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7" w:type="dxa"/>
            <w:tcBorders/>
            <w:vAlign w:val="center"/>
          </w:tcPr>
          <w:p>
            <w:pPr>
              <w:pStyle w:val="TableContents"/>
              <w:bidi w:val="0"/>
              <w:spacing w:before="0" w:after="283"/>
              <w:jc w:val="left"/>
              <w:rPr>
                <w:sz w:val="4"/>
                <w:szCs w:val="4"/>
              </w:rPr>
            </w:pPr>
            <w:r>
              <w:rPr>
                <w:sz w:val="4"/>
                <w:szCs w:val="4"/>
              </w:rPr>
            </w:r>
          </w:p>
        </w:tc>
        <w:tc>
          <w:tcPr>
            <w:tcW w:w="2589" w:type="dxa"/>
            <w:tcBorders/>
            <w:vAlign w:val="center"/>
          </w:tcPr>
          <w:p>
            <w:pPr>
              <w:pStyle w:val="TableContents"/>
              <w:bidi w:val="0"/>
              <w:spacing w:before="0" w:after="283"/>
              <w:jc w:val="left"/>
              <w:rPr>
                <w:sz w:val="4"/>
                <w:szCs w:val="4"/>
              </w:rPr>
            </w:pPr>
            <w:r>
              <w:rPr>
                <w:sz w:val="4"/>
                <w:szCs w:val="4"/>
              </w:rPr>
            </w:r>
          </w:p>
        </w:tc>
        <w:tc>
          <w:tcPr>
            <w:tcW w:w="3686"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Description</w:t>
            </w:r>
          </w:p>
        </w:tc>
      </w:tr>
      <w:tr>
        <w:trPr/>
        <w:tc>
          <w:tcPr>
            <w:tcW w:w="9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exhibit991-pressrelease202.htm">
              <w:r>
                <w:rPr>
                  <w:rStyle w:val="InternetLink"/>
                  <w:rFonts w:ascii="Times New Roman;serif" w:hAnsi="Times New Roman;serif"/>
                  <w:b w:val="false"/>
                  <w:color w:val="0000FF"/>
                  <w:sz w:val="20"/>
                  <w:u w:val="single"/>
                </w:rPr>
                <w:t>Press Release dated May 14, 2026</w:t>
              </w:r>
            </w:hyperlink>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Instance Document - the instance document does not appear in the Interactive Data File because its XBRL tags are embedded within the Inline XBRL document.</w:t>
            </w:r>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Schema Document.</w:t>
            </w:r>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Calculation Linkbase Document.</w:t>
            </w:r>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Definition Linkbase Document.</w:t>
            </w:r>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Label Linkbase Document.</w:t>
            </w:r>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Presentation Linkbase Document.</w:t>
            </w:r>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 the cover page iXBRL tags are embedded within the Inline XBRL document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before="240" w:after="283"/>
        <w:jc w:val="left"/>
        <w:rPr/>
      </w:pPr>
      <w:r>
        <w:rPr/>
      </w:r>
    </w:p>
    <w:tbl>
      <w:tblPr>
        <w:tblW w:w="4052" w:type="dxa"/>
        <w:jc w:val="right"/>
        <w:tblInd w:w="0" w:type="dxa"/>
        <w:tblLayout w:type="fixed"/>
        <w:tblCellMar>
          <w:top w:w="28" w:type="dxa"/>
          <w:left w:w="28" w:type="dxa"/>
          <w:bottom w:w="28" w:type="dxa"/>
          <w:right w:w="28" w:type="dxa"/>
        </w:tblCellMar>
      </w:tblPr>
      <w:tblGrid>
        <w:gridCol w:w="167"/>
        <w:gridCol w:w="147"/>
        <w:gridCol w:w="147"/>
        <w:gridCol w:w="147"/>
        <w:gridCol w:w="147"/>
        <w:gridCol w:w="147"/>
        <w:gridCol w:w="921"/>
        <w:gridCol w:w="921"/>
        <w:gridCol w:w="1308"/>
      </w:tblGrid>
      <w:tr>
        <w:trPr/>
        <w:tc>
          <w:tcPr>
            <w:tcW w:w="16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1308" w:type="dxa"/>
            <w:tcBorders/>
            <w:vAlign w:val="center"/>
          </w:tcPr>
          <w:p>
            <w:pPr>
              <w:pStyle w:val="TableContents"/>
              <w:bidi w:val="0"/>
              <w:spacing w:before="0" w:after="283"/>
              <w:jc w:val="left"/>
              <w:rPr>
                <w:sz w:val="4"/>
                <w:szCs w:val="4"/>
              </w:rPr>
            </w:pPr>
            <w:r>
              <w:rPr>
                <w:sz w:val="4"/>
                <w:szCs w:val="4"/>
              </w:rPr>
            </w:r>
          </w:p>
        </w:tc>
      </w:tr>
      <w:tr>
        <w:trPr/>
        <w:tc>
          <w:tcPr>
            <w:tcW w:w="4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2"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comScore, Inc.</w:t>
            </w:r>
          </w:p>
        </w:tc>
      </w:tr>
      <w:tr>
        <w:trPr/>
        <w:tc>
          <w:tcPr>
            <w:tcW w:w="4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Mary Margaret Curry</w:t>
            </w:r>
          </w:p>
        </w:tc>
      </w:tr>
      <w:tr>
        <w:trPr/>
        <w:tc>
          <w:tcPr>
            <w:tcW w:w="4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Mary Margaret Curry</w:t>
            </w:r>
          </w:p>
        </w:tc>
      </w:tr>
      <w:tr>
        <w:trPr/>
        <w:tc>
          <w:tcPr>
            <w:tcW w:w="4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 and Treasurer</w:t>
            </w:r>
          </w:p>
        </w:tc>
      </w:tr>
    </w:tbl>
    <w:p>
      <w:pPr>
        <w:pStyle w:val="TextBody"/>
        <w:bidi w:val="0"/>
        <w:spacing w:lineRule="auto" w:line="288" w:before="140" w:after="283"/>
        <w:jc w:val="left"/>
        <w:rPr>
          <w:rFonts w:ascii="Times New Roman;serif" w:hAnsi="Times New Roman;serif"/>
          <w:b w:val="false"/>
          <w:color w:val="000000"/>
          <w:sz w:val="20"/>
        </w:rPr>
      </w:pPr>
      <w:r>
        <w:rPr>
          <w:rFonts w:ascii="Times New Roman;serif" w:hAnsi="Times New Roman;serif"/>
          <w:b w:val="false"/>
          <w:color w:val="000000"/>
          <w:sz w:val="20"/>
        </w:rPr>
        <w:t>Date: May 14, 2026</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99.1</w:t>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left"/>
        <w:rPr/>
      </w:pPr>
      <w:r>
        <w:rPr/>
        <w:drawing>
          <wp:inline distT="0" distB="0" distL="0" distR="0">
            <wp:extent cx="2286000" cy="447675"/>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2286000" cy="447675"/>
                    </a:xfrm>
                    <a:prstGeom prst="rect">
                      <a:avLst/>
                    </a:prstGeom>
                  </pic:spPr>
                </pic:pic>
              </a:graphicData>
            </a:graphic>
          </wp:inline>
        </w:drawing>
      </w:r>
    </w:p>
    <w:p>
      <w:pPr>
        <w:pStyle w:val="TextBody"/>
        <w:bidi w:val="0"/>
        <w:spacing w:lineRule="auto" w:line="331" w:before="0" w:after="0"/>
        <w:jc w:val="right"/>
        <w:rPr>
          <w:rFonts w:ascii="Times New Roman;serif" w:hAnsi="Times New Roman;serif"/>
          <w:b/>
          <w:color w:val="000000"/>
          <w:sz w:val="18"/>
        </w:rPr>
      </w:pPr>
      <w:r>
        <w:rPr>
          <w:rFonts w:ascii="Times New Roman;serif" w:hAnsi="Times New Roman;serif"/>
          <w:b/>
          <w:color w:val="000000"/>
          <w:sz w:val="18"/>
        </w:rPr>
        <w:t>FOR IMMEDIATE RELEASE</w:t>
      </w:r>
    </w:p>
    <w:p>
      <w:pPr>
        <w:pStyle w:val="TextBody"/>
        <w:bidi w:val="0"/>
        <w:spacing w:lineRule="auto" w:line="288" w:before="240" w:after="283"/>
        <w:jc w:val="center"/>
        <w:rPr>
          <w:rFonts w:ascii="Times New Roman;serif" w:hAnsi="Times New Roman;serif"/>
          <w:b/>
          <w:color w:val="000000"/>
          <w:sz w:val="28"/>
        </w:rPr>
      </w:pPr>
      <w:r>
        <w:rPr>
          <w:rFonts w:ascii="Times New Roman;serif" w:hAnsi="Times New Roman;serif"/>
          <w:b/>
          <w:color w:val="000000"/>
          <w:sz w:val="28"/>
        </w:rPr>
        <w:t>Comscore Reports First Quarter 2026 Results</w:t>
      </w:r>
    </w:p>
    <w:p>
      <w:pPr>
        <w:pStyle w:val="TextBody"/>
        <w:bidi w:val="0"/>
        <w:spacing w:lineRule="auto" w:line="288" w:before="240" w:after="283"/>
        <w:jc w:val="both"/>
        <w:rPr>
          <w:rFonts w:ascii="Times New Roman;serif" w:hAnsi="Times New Roman;serif"/>
          <w:b w:val="false"/>
          <w:color w:val="000000"/>
          <w:sz w:val="22"/>
        </w:rPr>
      </w:pPr>
      <w:r>
        <w:rPr>
          <w:rFonts w:ascii="Times New Roman;serif" w:hAnsi="Times New Roman;serif"/>
          <w:b w:val="false"/>
          <w:color w:val="000000"/>
          <w:sz w:val="22"/>
        </w:rPr>
        <w:t>RESTON, Va., May 14, 2026 – Comscore, Inc. (Nasdaq: SCOR), a trusted partner for planning, transacting and evaluating media across platforms, today reported financial results for the quarter ended March 31, 2026.</w:t>
      </w:r>
    </w:p>
    <w:p>
      <w:pPr>
        <w:pStyle w:val="TextBody"/>
        <w:bidi w:val="0"/>
        <w:spacing w:lineRule="auto" w:line="288" w:before="240" w:after="283"/>
        <w:jc w:val="both"/>
        <w:rPr>
          <w:rFonts w:ascii="Times New Roman;serif" w:hAnsi="Times New Roman;serif"/>
          <w:b/>
          <w:color w:val="000000"/>
          <w:sz w:val="22"/>
        </w:rPr>
      </w:pPr>
      <w:r>
        <w:rPr>
          <w:rFonts w:ascii="Times New Roman;serif" w:hAnsi="Times New Roman;serif"/>
          <w:b/>
          <w:color w:val="000000"/>
          <w:sz w:val="22"/>
        </w:rPr>
        <w:t>Business and Financial Highlights</w:t>
      </w:r>
    </w:p>
    <w:p>
      <w:pPr>
        <w:pStyle w:val="TextBody"/>
        <w:bidi w:val="0"/>
        <w:spacing w:lineRule="auto" w:line="288" w:before="100" w:after="283"/>
        <w:ind w:left="0" w:right="0" w:hanging="360"/>
        <w:jc w:val="both"/>
        <w:rPr/>
      </w:pPr>
      <w:r>
        <w:rPr>
          <w:color w:val="000000"/>
        </w:rPr>
        <w:t>•</w:t>
      </w:r>
      <w:r>
        <w:rPr>
          <w:rFonts w:ascii="Times New Roman;serif" w:hAnsi="Times New Roman;serif"/>
          <w:b w:val="false"/>
          <w:color w:val="000000"/>
          <w:sz w:val="22"/>
        </w:rPr>
        <w:t>Revenue for the first quarter was $85.3 million compared to $85.7 million in Q1 2025</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2"/>
        </w:rPr>
        <w:t>30% growth in cross-platform solutions, driven by Proximic and CCR and continued adoption of our cross-platform content measurement offering</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2"/>
        </w:rPr>
        <w:t>Net loss of $6.2 million compared to</w:t>
      </w:r>
      <w:r>
        <w:rPr>
          <w:color w:val="000000"/>
        </w:rPr>
        <w:t xml:space="preserve"> </w:t>
      </w:r>
      <w:r>
        <w:rPr>
          <w:rFonts w:ascii="Times New Roman;serif" w:hAnsi="Times New Roman;serif"/>
          <w:b w:val="false"/>
          <w:color w:val="000000"/>
          <w:sz w:val="22"/>
        </w:rPr>
        <w:t>$4.0 million in Q1 2025</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2"/>
        </w:rPr>
        <w:t>Adjusted EBITDA</w:t>
      </w:r>
      <w:r>
        <w:rPr>
          <w:rFonts w:ascii="Times New Roman;serif" w:hAnsi="Times New Roman;serif"/>
          <w:b w:val="false"/>
          <w:color w:val="000000"/>
          <w:sz w:val="14"/>
        </w:rPr>
        <w:t>1</w:t>
      </w:r>
      <w:r>
        <w:rPr>
          <w:color w:val="000000"/>
        </w:rPr>
        <w:t xml:space="preserve"> </w:t>
      </w:r>
      <w:r>
        <w:rPr>
          <w:rFonts w:ascii="Times New Roman;serif" w:hAnsi="Times New Roman;serif"/>
          <w:b w:val="false"/>
          <w:color w:val="000000"/>
          <w:sz w:val="22"/>
        </w:rPr>
        <w:t>of $5.0 million compared to $7.4 million in Q1 2025</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2"/>
        </w:rPr>
        <w:t>$5.0 million voluntary prepayment of senior secured term loan</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2"/>
        </w:rPr>
        <w:t>Investor call to be held on or before May 29</w:t>
      </w:r>
      <w:r>
        <w:rPr>
          <w:rFonts w:ascii="Times New Roman;serif" w:hAnsi="Times New Roman;serif"/>
          <w:b w:val="false"/>
          <w:color w:val="000000"/>
          <w:sz w:val="14"/>
        </w:rPr>
        <w:t>th</w:t>
      </w:r>
      <w:r>
        <w:rPr>
          <w:color w:val="000000"/>
        </w:rPr>
        <w:t xml:space="preserve"> </w:t>
      </w:r>
      <w:r>
        <w:rPr>
          <w:rFonts w:ascii="Times New Roman;serif" w:hAnsi="Times New Roman;serif"/>
          <w:b w:val="false"/>
          <w:color w:val="000000"/>
          <w:sz w:val="22"/>
        </w:rPr>
        <w:t>with updates on the business and outlook for 2026</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"Our results in the first quarter reflect the ongoing transition of Comscore's business mix, with declines in traditional measurement products offset by growth in cross-platform and Local TV," said Jon Carpenter, CEO of Comscore. "We delivered 30% year-over-year cross-platform revenue growth for the quarter, drawn from both new client wins and expanded relationships with longstanding partners. Further, we announced several new client wins in Local TV, continuing the strong momentum we've had in our core currency offering. Looking forward, I remain bullish on continued cross-platform growth and our efforts toward establishing Comscore as the standard for modern measurement."</w:t>
      </w:r>
    </w:p>
    <w:p>
      <w:pPr>
        <w:pStyle w:val="TextBody"/>
        <w:bidi w:val="0"/>
        <w:spacing w:lineRule="auto" w:line="288" w:before="240" w:after="283"/>
        <w:jc w:val="both"/>
        <w:rPr>
          <w:rFonts w:ascii="Times New Roman;serif" w:hAnsi="Times New Roman;serif"/>
          <w:b/>
          <w:color w:val="242424"/>
          <w:sz w:val="22"/>
        </w:rPr>
      </w:pPr>
      <w:r>
        <w:rPr>
          <w:rFonts w:ascii="Times New Roman;serif" w:hAnsi="Times New Roman;serif"/>
          <w:b/>
          <w:color w:val="242424"/>
          <w:sz w:val="22"/>
        </w:rPr>
        <w:t xml:space="preserve">First Quarter Summary Results </w:t>
      </w:r>
    </w:p>
    <w:p>
      <w:pPr>
        <w:pStyle w:val="TextBody"/>
        <w:bidi w:val="0"/>
        <w:spacing w:lineRule="auto" w:line="288" w:before="100" w:after="283"/>
        <w:jc w:val="both"/>
        <w:rPr>
          <w:rFonts w:ascii="Times New Roman;serif" w:hAnsi="Times New Roman;serif"/>
          <w:b w:val="false"/>
          <w:color w:val="000000"/>
          <w:sz w:val="22"/>
        </w:rPr>
      </w:pPr>
      <w:r>
        <w:rPr>
          <w:rFonts w:ascii="Times New Roman;serif" w:hAnsi="Times New Roman;serif"/>
          <w:b w:val="false"/>
          <w:color w:val="000000"/>
          <w:sz w:val="22"/>
        </w:rPr>
        <w:t>Revenue in the first quarter was $85.3 million, down 0.5% from $85.7 million in Q1 2025. Content &amp; Ad Measurement revenue was flat compared to the prior-year quarter, with higher revenue from our cross-platform solutions offset by lower revenue from our syndicated audience offerings (primarily related to national TV and syndicated digital products). Research &amp; Insight Solutions revenue decreased 2.7% from Q1 2025, primarily due to lower deliveries of certain custom digital products.</w:t>
      </w:r>
    </w:p>
    <w:p>
      <w:pPr>
        <w:pStyle w:val="TextBody"/>
        <w:bidi w:val="0"/>
        <w:spacing w:lineRule="auto" w:line="288" w:before="100" w:after="283"/>
        <w:jc w:val="both"/>
        <w:rPr>
          <w:rFonts w:ascii="Times New Roman;serif" w:hAnsi="Times New Roman;serif"/>
          <w:b w:val="false"/>
          <w:color w:val="000000"/>
          <w:sz w:val="22"/>
        </w:rPr>
      </w:pPr>
      <w:r>
        <w:rPr>
          <w:rFonts w:ascii="Times New Roman;serif" w:hAnsi="Times New Roman;serif"/>
          <w:b w:val="false"/>
          <w:color w:val="000000"/>
          <w:sz w:val="22"/>
        </w:rPr>
        <w:t>Our core operating expenses, which include cost of revenues, sales and marketing, research and development and general and administrative expenses, were $89.2 million for the quarter, up 2.4% compared to $87.1 million in Q1 2025, primarily due to higher systems and bandwidth costs and professional fees, partially offset by lower data costs.</w:t>
      </w:r>
    </w:p>
    <w:p>
      <w:pPr>
        <w:pStyle w:val="TextBody"/>
        <w:bidi w:val="0"/>
        <w:spacing w:lineRule="auto" w:line="288" w:before="100" w:after="283"/>
        <w:jc w:val="both"/>
        <w:rPr>
          <w:rFonts w:ascii="Times New Roman;serif" w:hAnsi="Times New Roman;serif"/>
          <w:b w:val="false"/>
          <w:color w:val="000000"/>
          <w:sz w:val="22"/>
        </w:rPr>
      </w:pPr>
      <w:r>
        <w:rPr>
          <w:rFonts w:ascii="Times New Roman;serif" w:hAnsi="Times New Roman;serif"/>
          <w:b w:val="false"/>
          <w:color w:val="000000"/>
          <w:sz w:val="22"/>
        </w:rPr>
        <w:t>Net loss for the quarter was $6.2 million compared to $4.0 million in Q1 2025, resulting in net loss margins of 7.3% and 4.7% of revenue, respectively. Loss per share attributable to common shares was $(0.41) for Q1 2026. After accounting for dividends on our then-outstanding Series B convertible preferred stock, loss per share attributable to common shares was $(1.66) for Q1 2025.</w:t>
      </w:r>
    </w:p>
    <w:p>
      <w:pPr>
        <w:pStyle w:val="TextBody"/>
        <w:bidi w:val="0"/>
        <w:spacing w:lineRule="auto" w:line="288" w:before="100" w:after="283"/>
        <w:jc w:val="both"/>
        <w:rPr>
          <w:rFonts w:ascii="Times New Roman;serif" w:hAnsi="Times New Roman;serif"/>
          <w:b w:val="false"/>
          <w:color w:val="000000"/>
          <w:sz w:val="22"/>
        </w:rPr>
      </w:pPr>
      <w:r>
        <w:rPr>
          <w:rFonts w:ascii="Times New Roman;serif" w:hAnsi="Times New Roman;serif"/>
          <w:b w:val="false"/>
          <w:color w:val="000000"/>
          <w:sz w:val="22"/>
        </w:rPr>
        <w:t>Non-GAAP adjusted EBITDA for the quarter was $5.0 million, compared to $7.4 million in Q1 2025, resulting in adjusted EBITDA margins of 5.9% and 8.6%, respectively. Beginning in the third quarter of 2025 (and for comparable prior periods), we modified our adjusted EBITDA metric to exclude certain costs related to our consideration of strategic alternatives. As revised, adjusted EBITDA and adjusted EBITDA margin exclude depreciation and amortization, net interest expense, income taxes, impairment charges, stock-based compensation expense, transformation costs, restructuring costs, strategic transaction costs, gain/loss from foreign currency transactions, loss on partial extinguishment of debt, and other items as presented in the accompanying tables.</w:t>
      </w:r>
    </w:p>
    <w:p>
      <w:pPr>
        <w:pStyle w:val="TextBody"/>
        <w:bidi w:val="0"/>
        <w:spacing w:lineRule="auto" w:line="288" w:before="240" w:after="283"/>
        <w:jc w:val="both"/>
        <w:rPr>
          <w:rFonts w:ascii="Times New Roman;serif" w:hAnsi="Times New Roman;serif"/>
          <w:b/>
          <w:color w:val="000000"/>
          <w:sz w:val="22"/>
        </w:rPr>
      </w:pPr>
      <w:r>
        <w:rPr>
          <w:rFonts w:ascii="Times New Roman;serif" w:hAnsi="Times New Roman;serif"/>
          <w:b/>
          <w:color w:val="000000"/>
          <w:sz w:val="22"/>
        </w:rPr>
        <w:t>Balance Sheet and Liquidity</w:t>
      </w:r>
    </w:p>
    <w:p>
      <w:pPr>
        <w:pStyle w:val="TextBody"/>
        <w:bidi w:val="0"/>
        <w:spacing w:lineRule="auto" w:line="288" w:before="100" w:after="283"/>
        <w:jc w:val="both"/>
        <w:rPr>
          <w:rFonts w:ascii="Times New Roman;serif" w:hAnsi="Times New Roman;serif"/>
          <w:b w:val="false"/>
          <w:color w:val="000000"/>
          <w:sz w:val="22"/>
        </w:rPr>
      </w:pPr>
      <w:r>
        <w:rPr>
          <w:rFonts w:ascii="Times New Roman;serif" w:hAnsi="Times New Roman;serif"/>
          <w:b w:val="false"/>
          <w:color w:val="000000"/>
          <w:sz w:val="22"/>
        </w:rPr>
        <w:t xml:space="preserve">As of March 31, 2026, cash, cash equivalents and restricted cash totaled $25.1 million, including $3.0 million in restricted cash. Outstanding debt principal under our senior secured term loan was $39.0 million, reflecting a voluntary prepayment </w:t>
      </w:r>
    </w:p>
    <w:p>
      <w:pPr>
        <w:pStyle w:val="TextBody"/>
        <w:bidi w:val="0"/>
        <w:spacing w:lineRule="auto" w:line="288"/>
        <w:jc w:val="both"/>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Adjusted EBITDA and adjusted EBITDA margin are non-GAAP measures defined in the "First Quarter Summary Results" section and are reconciled to net income (loss) and net income (loss) margin in the addendum of this release.</w:t>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00" w:after="283"/>
        <w:jc w:val="both"/>
        <w:rPr>
          <w:rFonts w:ascii="Times New Roman;serif" w:hAnsi="Times New Roman;serif"/>
          <w:b w:val="false"/>
          <w:color w:val="000000"/>
          <w:sz w:val="22"/>
        </w:rPr>
      </w:pPr>
      <w:r>
        <w:rPr>
          <w:rFonts w:ascii="Times New Roman;serif" w:hAnsi="Times New Roman;serif"/>
          <w:b w:val="false"/>
          <w:color w:val="000000"/>
          <w:sz w:val="22"/>
        </w:rPr>
        <w:t>of $5.0 million during the quarter. We had no outstanding borrowings under our revolving credit facility as of March 31, 2026, with a remaining borrowing capacity of $15.0 million.</w:t>
      </w:r>
    </w:p>
    <w:p>
      <w:pPr>
        <w:pStyle w:val="TextBody"/>
        <w:bidi w:val="0"/>
        <w:spacing w:lineRule="auto" w:line="288" w:before="240" w:after="283"/>
        <w:jc w:val="both"/>
        <w:rPr>
          <w:rFonts w:ascii="Times New Roman;serif" w:hAnsi="Times New Roman;serif"/>
          <w:b/>
          <w:color w:val="000000"/>
          <w:sz w:val="22"/>
        </w:rPr>
      </w:pPr>
      <w:r>
        <w:rPr>
          <w:rFonts w:ascii="Times New Roman;serif" w:hAnsi="Times New Roman;serif"/>
          <w:b/>
          <w:color w:val="000000"/>
          <w:sz w:val="22"/>
        </w:rPr>
        <w:t>Investor Conference Call</w:t>
      </w:r>
    </w:p>
    <w:p>
      <w:pPr>
        <w:pStyle w:val="TextBody"/>
        <w:bidi w:val="0"/>
        <w:spacing w:lineRule="auto" w:line="288" w:before="100" w:after="283"/>
        <w:jc w:val="both"/>
        <w:rPr>
          <w:rFonts w:ascii="Times New Roman;serif" w:hAnsi="Times New Roman;serif"/>
          <w:b w:val="false"/>
          <w:color w:val="000000"/>
          <w:sz w:val="22"/>
        </w:rPr>
      </w:pPr>
      <w:r>
        <w:rPr>
          <w:rFonts w:ascii="Times New Roman;serif" w:hAnsi="Times New Roman;serif"/>
          <w:b w:val="false"/>
          <w:color w:val="000000"/>
          <w:sz w:val="22"/>
        </w:rPr>
        <w:t>As previously disclosed, Comscore is evaluating various strategic actions following the recapitalization transaction closed in the fourth quarter of 2025, with the goal of further streamlining our capital structure, enhancing our financial profile, unlocking growth and simplifying our business. We plan to hold a conference call on or before May 29, 2026 to provide an update on our progress and discuss our outlook for the rest of the year. Details regarding the date, time and how to access the conference call will be provided separately.</w:t>
      </w:r>
    </w:p>
    <w:p>
      <w:pPr>
        <w:pStyle w:val="TextBody"/>
        <w:bidi w:val="0"/>
        <w:spacing w:lineRule="auto" w:line="288" w:before="240" w:after="283"/>
        <w:jc w:val="both"/>
        <w:rPr>
          <w:rFonts w:ascii="Times New Roman;serif" w:hAnsi="Times New Roman;serif"/>
          <w:b/>
          <w:color w:val="000000"/>
          <w:sz w:val="22"/>
        </w:rPr>
      </w:pPr>
      <w:r>
        <w:rPr>
          <w:rFonts w:ascii="Times New Roman;serif" w:hAnsi="Times New Roman;serif"/>
          <w:b/>
          <w:color w:val="000000"/>
          <w:sz w:val="22"/>
        </w:rPr>
        <w:t>About Comscore</w:t>
      </w:r>
    </w:p>
    <w:p>
      <w:pPr>
        <w:pStyle w:val="TextBody"/>
        <w:bidi w:val="0"/>
        <w:spacing w:lineRule="auto" w:line="288" w:before="100" w:after="283"/>
        <w:jc w:val="both"/>
        <w:rPr>
          <w:rFonts w:ascii="Times New Roman;serif" w:hAnsi="Times New Roman;serif"/>
          <w:b w:val="false"/>
          <w:color w:val="000000"/>
          <w:sz w:val="22"/>
        </w:rPr>
      </w:pPr>
      <w:r>
        <w:rPr>
          <w:rFonts w:ascii="Times New Roman;serif" w:hAnsi="Times New Roman;serif"/>
          <w:b w:val="false"/>
          <w:color w:val="000000"/>
          <w:sz w:val="22"/>
        </w:rPr>
        <w:t>Comscore is a global, trusted partner for planning, transacting and evaluating media across platforms. With an unmatched data footprint that combines digital, linear TV, over-the-top and theatrical viewership intelligence with advanced audience insights, Comscore empowers media buyers and sellers to quantify their multiscreen behavior and make meaningful business decisions with confidence. A proven leader in measuring digital and TV audiences and advertising at scale, Comscore is the industry's emerging, third-party source for reliable and comprehensive cross-platform measurement.</w:t>
      </w:r>
    </w:p>
    <w:p>
      <w:pPr>
        <w:pStyle w:val="TextBody"/>
        <w:bidi w:val="0"/>
        <w:spacing w:lineRule="auto" w:line="288" w:before="240" w:after="283"/>
        <w:jc w:val="both"/>
        <w:rPr>
          <w:rFonts w:ascii="Times New Roman;serif" w:hAnsi="Times New Roman;serif"/>
          <w:b/>
          <w:color w:val="000000"/>
          <w:sz w:val="22"/>
        </w:rPr>
      </w:pPr>
      <w:r>
        <w:rPr>
          <w:rFonts w:ascii="Times New Roman;serif" w:hAnsi="Times New Roman;serif"/>
          <w:b/>
          <w:color w:val="000000"/>
          <w:sz w:val="22"/>
        </w:rPr>
        <w:t xml:space="preserve">Cautionary Note Regarding Forward-Looking Statements </w:t>
      </w:r>
    </w:p>
    <w:p>
      <w:pPr>
        <w:pStyle w:val="TextBody"/>
        <w:bidi w:val="0"/>
        <w:spacing w:lineRule="auto" w:line="288" w:before="100" w:after="283"/>
        <w:jc w:val="both"/>
        <w:rPr>
          <w:rFonts w:ascii="Times New Roman;serif" w:hAnsi="Times New Roman;serif"/>
          <w:b w:val="false"/>
          <w:color w:val="000000"/>
          <w:sz w:val="22"/>
        </w:rPr>
      </w:pPr>
      <w:r>
        <w:rPr>
          <w:rFonts w:ascii="Times New Roman;serif" w:hAnsi="Times New Roman;serif"/>
          <w:b w:val="false"/>
          <w:color w:val="000000"/>
          <w:sz w:val="22"/>
        </w:rPr>
        <w:t>This press release contains forward-looking statements within the meaning of federal and state securities laws, including, without limitation, our expectations, forecasts, plans and opinions regarding efforts to establish Comscore as the standard for modern measurement, changes in our product mix, momentum in our Local TV currency offering, revenue drivers and growth opportunities, our evaluation of various strategic actions and their potential benefits, and the timing and content of a planned conference call to be held on a future date. These statements involve risks and uncertainties that could cause actual events to differ materially from expectations, including, but not limited to, changes in our business and customer, partner and vendor relationships and contracts; external market conditions and competition; continued changes or declines in ad spending or other macroeconomic factors; evolving trade policies and privacy and regulatory standards; product adoption rates; the availability and desirability of additional strategic actions; delays in our evaluation of additional strategic actions; and our ability to achieve our expected strategic, financial and operational plans. For additional discussion of risk factors, please refer to our Annual Reports on Form 10-K, Quarterly Reports on Form 10-Q, and other filings that we make from time to time with the U.S. Securities and Exchange Commission (the "SEC"), which are available on the SEC's website (www.sec.gov).</w:t>
      </w:r>
    </w:p>
    <w:p>
      <w:pPr>
        <w:pStyle w:val="TextBody"/>
        <w:bidi w:val="0"/>
        <w:spacing w:lineRule="auto" w:line="288" w:before="100" w:after="283"/>
        <w:jc w:val="both"/>
        <w:rPr>
          <w:rFonts w:ascii="Times New Roman;serif" w:hAnsi="Times New Roman;serif"/>
          <w:b w:val="false"/>
          <w:color w:val="000000"/>
          <w:sz w:val="22"/>
        </w:rPr>
      </w:pPr>
      <w:r>
        <w:rPr>
          <w:rFonts w:ascii="Times New Roman;serif" w:hAnsi="Times New Roman;serif"/>
          <w:b w:val="false"/>
          <w:color w:val="000000"/>
          <w:sz w:val="22"/>
        </w:rPr>
        <w:t>Investors are cautioned not to place undue reliance on our forward-looking statements, which speak only as of the date such statements are made. We do not intend or undertake, and expressly disclaim, any duty or obligation to publicly update any forward-looking statements to reflect events, circumstances or new information after the date of this press release, or to reflect the occurrence of unanticipated events.</w:t>
      </w:r>
    </w:p>
    <w:p>
      <w:pPr>
        <w:pStyle w:val="TextBody"/>
        <w:bidi w:val="0"/>
        <w:spacing w:lineRule="auto" w:line="288" w:before="240" w:after="283"/>
        <w:jc w:val="both"/>
        <w:rPr>
          <w:rFonts w:ascii="Times New Roman;serif" w:hAnsi="Times New Roman;serif"/>
          <w:b/>
          <w:color w:val="000000"/>
          <w:sz w:val="22"/>
        </w:rPr>
      </w:pPr>
      <w:r>
        <w:rPr>
          <w:rFonts w:ascii="Times New Roman;serif" w:hAnsi="Times New Roman;serif"/>
          <w:b/>
          <w:color w:val="000000"/>
          <w:sz w:val="22"/>
        </w:rPr>
        <w:t>Use of Non-GAAP Financial Measures</w:t>
      </w:r>
    </w:p>
    <w:p>
      <w:pPr>
        <w:pStyle w:val="TextBody"/>
        <w:bidi w:val="0"/>
        <w:spacing w:lineRule="auto" w:line="288" w:before="100" w:after="283"/>
        <w:jc w:val="both"/>
        <w:rPr>
          <w:rFonts w:ascii="Times New Roman;serif" w:hAnsi="Times New Roman;serif"/>
          <w:b w:val="false"/>
          <w:color w:val="000000"/>
          <w:sz w:val="22"/>
        </w:rPr>
      </w:pPr>
      <w:r>
        <w:rPr>
          <w:rFonts w:ascii="Times New Roman;serif" w:hAnsi="Times New Roman;serif"/>
          <w:b w:val="false"/>
          <w:color w:val="000000"/>
          <w:sz w:val="22"/>
        </w:rPr>
        <w:t>To provide investors with additional information regarding our financial results, we are disclosing in this press release adjusted EBITDA and adjusted EBITDA margin, which are non-GAAP financial measures used by our management to understand and evaluate our core operating performance and trends. We believe that these non-GAAP financial measures provide useful information to investors and others in understanding and evaluating our operating results, as they permit our investors to view our core business performance using the same metrics that management uses to evaluate our performance. Nevertheless, our use of these non-GAAP financial measures has limitations as an analytical tool, and investors should not consider these measures in isolation or as a substitute for analysis of our results as reported under GAAP. Instead, you should consider these measures alongside GAAP-based financial performance measures, net income (loss), net income (loss) margin, various cash flow metrics, and our other GAAP financial results. Set forth below are reconciliations of these non-GAAP financial measures to their most directly comparable GAAP financial measures, net income (loss) and net income (loss) margin. These reconciliations should be carefully evaluated.</w:t>
      </w:r>
    </w:p>
    <w:p>
      <w:pPr>
        <w:pStyle w:val="TextBody"/>
        <w:bidi w:val="0"/>
        <w:spacing w:before="100" w:after="283"/>
        <w:jc w:val="both"/>
        <w:rPr/>
      </w:pPr>
      <w:r>
        <w:rPr/>
      </w:r>
    </w:p>
    <w:p>
      <w:pPr>
        <w:pStyle w:val="TextBody"/>
        <w:bidi w:val="0"/>
        <w:spacing w:before="100" w:after="283"/>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2548" w:type="dxa"/>
        <w:jc w:val="left"/>
        <w:tblInd w:w="0" w:type="dxa"/>
        <w:tblLayout w:type="fixed"/>
        <w:tblCellMar>
          <w:top w:w="28" w:type="dxa"/>
          <w:left w:w="28" w:type="dxa"/>
          <w:bottom w:w="28" w:type="dxa"/>
          <w:right w:w="28" w:type="dxa"/>
        </w:tblCellMar>
      </w:tblPr>
      <w:tblGrid>
        <w:gridCol w:w="1002"/>
        <w:gridCol w:w="649"/>
        <w:gridCol w:w="525"/>
        <w:gridCol w:w="109"/>
        <w:gridCol w:w="109"/>
        <w:gridCol w:w="154"/>
      </w:tblGrid>
      <w:tr>
        <w:trPr/>
        <w:tc>
          <w:tcPr>
            <w:tcW w:w="1002"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Media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Marie Scoutas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Comscore, Inc.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(917) 213-2032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Press@comscore.com</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both"/>
        <w:rPr/>
      </w:pPr>
      <w:r>
        <w:rPr/>
      </w:r>
    </w:p>
    <w:tbl>
      <w:tblPr>
        <w:tblW w:w="3202" w:type="dxa"/>
        <w:jc w:val="left"/>
        <w:tblInd w:w="0" w:type="dxa"/>
        <w:tblLayout w:type="fixed"/>
        <w:tblCellMar>
          <w:top w:w="28" w:type="dxa"/>
          <w:left w:w="28" w:type="dxa"/>
          <w:bottom w:w="28" w:type="dxa"/>
          <w:right w:w="28" w:type="dxa"/>
        </w:tblCellMar>
      </w:tblPr>
      <w:tblGrid>
        <w:gridCol w:w="1064"/>
        <w:gridCol w:w="936"/>
        <w:gridCol w:w="939"/>
        <w:gridCol w:w="109"/>
        <w:gridCol w:w="154"/>
      </w:tblGrid>
      <w:tr>
        <w:trPr/>
        <w:tc>
          <w:tcPr>
            <w:tcW w:w="1064"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Investors</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Jackie Marcus or Nick Nelson</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Alpha IR Group</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(617) 466-9257</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3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Investor@comscore.com</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COMSCORE,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BALANCE SHEETS</w:t>
      </w:r>
    </w:p>
    <w:tbl>
      <w:tblPr>
        <w:tblW w:w="10205" w:type="dxa"/>
        <w:jc w:val="center"/>
        <w:tblInd w:w="0" w:type="dxa"/>
        <w:tblLayout w:type="fixed"/>
        <w:tblCellMar>
          <w:top w:w="28" w:type="dxa"/>
          <w:left w:w="28" w:type="dxa"/>
          <w:bottom w:w="28" w:type="dxa"/>
          <w:right w:w="28" w:type="dxa"/>
        </w:tblCellMar>
      </w:tblPr>
      <w:tblGrid>
        <w:gridCol w:w="2868"/>
        <w:gridCol w:w="2321"/>
        <w:gridCol w:w="2338"/>
        <w:gridCol w:w="209"/>
        <w:gridCol w:w="786"/>
        <w:gridCol w:w="116"/>
        <w:gridCol w:w="109"/>
        <w:gridCol w:w="109"/>
        <w:gridCol w:w="109"/>
        <w:gridCol w:w="223"/>
        <w:gridCol w:w="837"/>
        <w:gridCol w:w="180"/>
      </w:tblGrid>
      <w:tr>
        <w:trPr/>
        <w:tc>
          <w:tcPr>
            <w:tcW w:w="2868" w:type="dxa"/>
            <w:tcBorders/>
            <w:vAlign w:val="center"/>
          </w:tcPr>
          <w:p>
            <w:pPr>
              <w:pStyle w:val="TableContents"/>
              <w:bidi w:val="0"/>
              <w:spacing w:before="0" w:after="283"/>
              <w:jc w:val="left"/>
              <w:rPr>
                <w:sz w:val="4"/>
                <w:szCs w:val="4"/>
              </w:rPr>
            </w:pPr>
            <w:r>
              <w:rPr>
                <w:sz w:val="4"/>
                <w:szCs w:val="4"/>
              </w:rPr>
            </w:r>
          </w:p>
        </w:tc>
        <w:tc>
          <w:tcPr>
            <w:tcW w:w="2321" w:type="dxa"/>
            <w:tcBorders/>
            <w:vAlign w:val="center"/>
          </w:tcPr>
          <w:p>
            <w:pPr>
              <w:pStyle w:val="TableContents"/>
              <w:bidi w:val="0"/>
              <w:spacing w:before="0" w:after="283"/>
              <w:jc w:val="left"/>
              <w:rPr>
                <w:sz w:val="4"/>
                <w:szCs w:val="4"/>
              </w:rPr>
            </w:pPr>
            <w:r>
              <w:rPr>
                <w:sz w:val="4"/>
                <w:szCs w:val="4"/>
              </w:rPr>
            </w:r>
          </w:p>
        </w:tc>
        <w:tc>
          <w:tcPr>
            <w:tcW w:w="2338"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r>
      <w:tr>
        <w:trPr/>
        <w:tc>
          <w:tcPr>
            <w:tcW w:w="75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w:t>
            </w:r>
          </w:p>
        </w:tc>
      </w:tr>
      <w:tr>
        <w:trPr/>
        <w:tc>
          <w:tcPr>
            <w:tcW w:w="75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75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thousands, except share and per share data)</w:t>
            </w:r>
          </w:p>
        </w:tc>
        <w:tc>
          <w:tcPr>
            <w:tcW w:w="11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Assets</w:t>
            </w:r>
          </w:p>
        </w:tc>
        <w:tc>
          <w:tcPr>
            <w:tcW w:w="11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assets:</w:t>
            </w:r>
          </w:p>
        </w:tc>
        <w:tc>
          <w:tcPr>
            <w:tcW w:w="11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20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22,044 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23,621 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Restricted cash</w:t>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3,038 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3,179 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Accounts receivable, net of allowances of $597 and $496, respectively</w:t>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55,533 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57,260 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 and other current assets</w:t>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11,742 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12,210 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assets</w:t>
            </w:r>
          </w:p>
        </w:tc>
        <w:tc>
          <w:tcPr>
            <w:tcW w:w="9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92,357 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96,270 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Property and equipment, net </w:t>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43,048 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43,714 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right-of-use assets</w:t>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7,332 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8,565 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Deferred tax assets </w:t>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3,033 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3,154 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Intangible assets, net </w:t>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1,897 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2,529 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Goodwill </w:t>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248,131 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248,636 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non-current assets</w:t>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4,372 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4,841 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assets</w:t>
            </w:r>
          </w:p>
        </w:tc>
        <w:tc>
          <w:tcPr>
            <w:tcW w:w="20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400,170 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407,709 </w:t>
            </w:r>
          </w:p>
        </w:tc>
        <w:tc>
          <w:tcPr>
            <w:tcW w:w="18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Liabilities, Convertible Redeemable Preferred Stock and Stockholders' Equity</w:t>
            </w:r>
          </w:p>
        </w:tc>
        <w:tc>
          <w:tcPr>
            <w:tcW w:w="111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liabilities:</w:t>
            </w:r>
          </w:p>
        </w:tc>
        <w:tc>
          <w:tcPr>
            <w:tcW w:w="11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20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22,004 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16,956 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Accrued expenses </w:t>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45,096 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44,879 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Contract liabilities</w:t>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42,970 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36,575 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0" w:type="dxa"/>
            <w:gridSpan w:val="3"/>
            <w:tcBorders/>
            <w:vAlign w:val="center"/>
          </w:tcPr>
          <w:p>
            <w:pPr>
              <w:pStyle w:val="TableContents"/>
              <w:bidi w:val="0"/>
              <w:spacing w:before="0" w:after="283"/>
              <w:jc w:val="left"/>
              <w:rPr>
                <w:sz w:val="4"/>
                <w:szCs w:val="4"/>
              </w:rPr>
            </w:pPr>
            <w:r>
              <w:rPr>
                <w:sz w:val="4"/>
                <w:szCs w:val="4"/>
              </w:rPr>
            </w:r>
          </w:p>
        </w:tc>
      </w:tr>
      <w:tr>
        <w:trPr/>
        <w:tc>
          <w:tcPr>
            <w:tcW w:w="75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0" w:type="dxa"/>
            <w:gridSpan w:val="3"/>
            <w:tcBorders/>
            <w:vAlign w:val="center"/>
          </w:tcPr>
          <w:p>
            <w:pPr>
              <w:pStyle w:val="TableContents"/>
              <w:bidi w:val="0"/>
              <w:spacing w:before="0" w:after="283"/>
              <w:jc w:val="left"/>
              <w:rPr>
                <w:sz w:val="4"/>
                <w:szCs w:val="4"/>
              </w:rPr>
            </w:pPr>
            <w:r>
              <w:rPr>
                <w:sz w:val="4"/>
                <w:szCs w:val="4"/>
              </w:rPr>
            </w:r>
          </w:p>
        </w:tc>
      </w:tr>
      <w:tr>
        <w:trPr/>
        <w:tc>
          <w:tcPr>
            <w:tcW w:w="75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Customer advances</w:t>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7,465 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7,605 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operating lease liabilities</w:t>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8,838 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8,783 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0" w:type="dxa"/>
            <w:gridSpan w:val="3"/>
            <w:tcBorders/>
            <w:vAlign w:val="center"/>
          </w:tcPr>
          <w:p>
            <w:pPr>
              <w:pStyle w:val="TableContents"/>
              <w:bidi w:val="0"/>
              <w:spacing w:before="0" w:after="283"/>
              <w:jc w:val="left"/>
              <w:rPr>
                <w:sz w:val="4"/>
                <w:szCs w:val="4"/>
              </w:rPr>
            </w:pPr>
            <w:r>
              <w:rPr>
                <w:sz w:val="4"/>
                <w:szCs w:val="4"/>
              </w:rPr>
            </w:r>
          </w:p>
        </w:tc>
      </w:tr>
      <w:tr>
        <w:trPr/>
        <w:tc>
          <w:tcPr>
            <w:tcW w:w="75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current liabilities</w:t>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7,264 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8,093 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liabilities</w:t>
            </w:r>
          </w:p>
        </w:tc>
        <w:tc>
          <w:tcPr>
            <w:tcW w:w="9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133,637 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122,891 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Secured term loan</w:t>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34,268 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39,297 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Non-current operating lease liabilities</w:t>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4,085 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6,238 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Non-current portion of accrued data costs</w:t>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21,817 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24,917 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0" w:type="dxa"/>
            <w:gridSpan w:val="3"/>
            <w:tcBorders/>
            <w:vAlign w:val="center"/>
          </w:tcPr>
          <w:p>
            <w:pPr>
              <w:pStyle w:val="TableContents"/>
              <w:bidi w:val="0"/>
              <w:spacing w:before="0" w:after="283"/>
              <w:jc w:val="left"/>
              <w:rPr>
                <w:sz w:val="4"/>
                <w:szCs w:val="4"/>
              </w:rPr>
            </w:pPr>
            <w:r>
              <w:rPr>
                <w:sz w:val="4"/>
                <w:szCs w:val="4"/>
              </w:rPr>
            </w:r>
          </w:p>
        </w:tc>
      </w:tr>
      <w:tr>
        <w:trPr/>
        <w:tc>
          <w:tcPr>
            <w:tcW w:w="75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0" w:type="dxa"/>
            <w:gridSpan w:val="3"/>
            <w:tcBorders/>
            <w:vAlign w:val="center"/>
          </w:tcPr>
          <w:p>
            <w:pPr>
              <w:pStyle w:val="TableContents"/>
              <w:bidi w:val="0"/>
              <w:spacing w:before="0" w:after="283"/>
              <w:jc w:val="left"/>
              <w:rPr>
                <w:sz w:val="4"/>
                <w:szCs w:val="4"/>
              </w:rPr>
            </w:pPr>
            <w:r>
              <w:rPr>
                <w:sz w:val="4"/>
                <w:szCs w:val="4"/>
              </w:rPr>
            </w:r>
          </w:p>
        </w:tc>
      </w:tr>
      <w:tr>
        <w:trPr/>
        <w:tc>
          <w:tcPr>
            <w:tcW w:w="75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tax liabilities</w:t>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2,354 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1,997 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Non-current payable to preferred stockholders</w:t>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4,611 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4,457 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non-current liabilities</w:t>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4,750 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6,751 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w:t>
            </w:r>
          </w:p>
        </w:tc>
        <w:tc>
          <w:tcPr>
            <w:tcW w:w="9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205,522 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206,548 </w:t>
            </w:r>
          </w:p>
        </w:tc>
        <w:tc>
          <w:tcPr>
            <w:tcW w:w="18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Commitments and contingencies</w:t>
            </w:r>
          </w:p>
        </w:tc>
        <w:tc>
          <w:tcPr>
            <w:tcW w:w="11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Series C convertible redeemable preferred stock, $0.001 par value; 12,670,863 shares authorized, issued and outstanding as of March 31, 2026 and December 31, 2025; aggregate liquidation preference of $183,728 as of March 31, 2026 and December 31, 2025</w:t>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89,654 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89,722 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Stockholders' equity:</w:t>
            </w:r>
          </w:p>
        </w:tc>
        <w:tc>
          <w:tcPr>
            <w:tcW w:w="11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Preferred stock, $0.001 par value; 1,329,137 shares authorized as of March 31, 2026 and December 31, 2025; no shares issued or outstanding as of March 31, 2026 or December 31, 2025</w:t>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Common stock, $0.001 par value; 46,000,000 shares authorized as of March 31, 2026 and December 31, 2025; 15,361,753 shares issued and 15,023,514 shares outstanding as of March 31, 2026, and 15,214,378 shares issued and 14,876,139 shares outstanding as of December 31, 2025 </w:t>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Additional paid-in capital</w:t>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1,783,009 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1,781,265 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other comprehensive loss</w:t>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(11,803)</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(9,862)</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deficit</w:t>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(1,436,243)</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(1,429,995)</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Treasury stock, at cost, 338,239 shares as of March 31, 2026 and December 31, 2025</w:t>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(229,984)</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(229,984)</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stockholders' equity</w:t>
            </w:r>
          </w:p>
        </w:tc>
        <w:tc>
          <w:tcPr>
            <w:tcW w:w="9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104,994 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111,439 </w:t>
            </w:r>
          </w:p>
        </w:tc>
        <w:tc>
          <w:tcPr>
            <w:tcW w:w="18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Total liabilities, convertible redeemable preferred stock and stockholders' equity </w:t>
            </w:r>
          </w:p>
        </w:tc>
        <w:tc>
          <w:tcPr>
            <w:tcW w:w="2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400,170 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407,709 </w:t>
            </w:r>
          </w:p>
        </w:tc>
        <w:tc>
          <w:tcPr>
            <w:tcW w:w="1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8"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COMSCORE,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OPERATIONS AND COMPREHENSIVE LOSS</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(Unaudited)</w:t>
      </w:r>
    </w:p>
    <w:tbl>
      <w:tblPr>
        <w:tblW w:w="8948" w:type="dxa"/>
        <w:jc w:val="center"/>
        <w:tblInd w:w="0" w:type="dxa"/>
        <w:tblLayout w:type="fixed"/>
        <w:tblCellMar>
          <w:top w:w="28" w:type="dxa"/>
          <w:left w:w="28" w:type="dxa"/>
          <w:bottom w:w="28" w:type="dxa"/>
          <w:right w:w="28" w:type="dxa"/>
        </w:tblCellMar>
      </w:tblPr>
      <w:tblGrid>
        <w:gridCol w:w="2178"/>
        <w:gridCol w:w="1911"/>
        <w:gridCol w:w="1926"/>
        <w:gridCol w:w="223"/>
        <w:gridCol w:w="738"/>
        <w:gridCol w:w="117"/>
        <w:gridCol w:w="117"/>
        <w:gridCol w:w="117"/>
        <w:gridCol w:w="117"/>
        <w:gridCol w:w="211"/>
        <w:gridCol w:w="695"/>
        <w:gridCol w:w="117"/>
        <w:gridCol w:w="109"/>
        <w:gridCol w:w="109"/>
        <w:gridCol w:w="109"/>
        <w:gridCol w:w="154"/>
      </w:tblGrid>
      <w:tr>
        <w:trPr/>
        <w:tc>
          <w:tcPr>
            <w:tcW w:w="2178" w:type="dxa"/>
            <w:tcBorders/>
            <w:vAlign w:val="center"/>
          </w:tcPr>
          <w:p>
            <w:pPr>
              <w:pStyle w:val="TableContents"/>
              <w:bidi w:val="0"/>
              <w:spacing w:before="0" w:after="283"/>
              <w:jc w:val="left"/>
              <w:rPr>
                <w:sz w:val="4"/>
                <w:szCs w:val="4"/>
              </w:rPr>
            </w:pPr>
            <w:r>
              <w:rPr>
                <w:sz w:val="4"/>
                <w:szCs w:val="4"/>
              </w:rPr>
            </w:r>
          </w:p>
        </w:tc>
        <w:tc>
          <w:tcPr>
            <w:tcW w:w="1911" w:type="dxa"/>
            <w:tcBorders/>
            <w:vAlign w:val="center"/>
          </w:tcPr>
          <w:p>
            <w:pPr>
              <w:pStyle w:val="TableContents"/>
              <w:bidi w:val="0"/>
              <w:spacing w:before="0" w:after="283"/>
              <w:jc w:val="left"/>
              <w:rPr>
                <w:sz w:val="4"/>
                <w:szCs w:val="4"/>
              </w:rPr>
            </w:pPr>
            <w:r>
              <w:rPr>
                <w:sz w:val="4"/>
                <w:szCs w:val="4"/>
              </w:rPr>
            </w:r>
          </w:p>
        </w:tc>
        <w:tc>
          <w:tcPr>
            <w:tcW w:w="192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2"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60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thousands, except share and per share data)</w:t>
            </w:r>
          </w:p>
        </w:tc>
        <w:tc>
          <w:tcPr>
            <w:tcW w:w="10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Revenues </w:t>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85,322 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85,709 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Cost of revenues</w:t>
            </w:r>
            <w:r>
              <w:rPr>
                <w:color w:val="000000"/>
              </w:rPr>
              <w:t xml:space="preserve"> </w:t>
            </w:r>
            <w:r>
              <w:rPr>
                <w:rFonts w:ascii="Times New Roman;serif" w:hAnsi="Times New Roman;serif"/>
                <w:b w:val="false"/>
                <w:color w:val="000000"/>
                <w:sz w:val="12"/>
              </w:rPr>
              <w:t>(1) (2)</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52,988 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51,747 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Selling and marketing </w:t>
            </w:r>
            <w:r>
              <w:rPr>
                <w:rFonts w:ascii="Times New Roman;serif" w:hAnsi="Times New Roman;serif"/>
                <w:b w:val="false"/>
                <w:color w:val="000000"/>
                <w:sz w:val="12"/>
              </w:rPr>
              <w:t>(1) (2)</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15,656 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14,803 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Research and development</w:t>
            </w:r>
            <w:r>
              <w:rPr>
                <w:color w:val="000000"/>
              </w:rPr>
              <w:t xml:space="preserve"> </w:t>
            </w:r>
            <w:r>
              <w:rPr>
                <w:rFonts w:ascii="Times New Roman;serif" w:hAnsi="Times New Roman;serif"/>
                <w:b w:val="false"/>
                <w:color w:val="000000"/>
                <w:sz w:val="12"/>
              </w:rPr>
              <w:t xml:space="preserve">(1) (2) </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7,786 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8,118 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General and administrative </w:t>
            </w:r>
            <w:r>
              <w:rPr>
                <w:rFonts w:ascii="Times New Roman;serif" w:hAnsi="Times New Roman;serif"/>
                <w:b w:val="false"/>
                <w:color w:val="000000"/>
                <w:sz w:val="12"/>
              </w:rPr>
              <w:t>(1) (2)</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12,780 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12,475 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intangible assets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632 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632 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15" w:type="dxa"/>
            <w:gridSpan w:val="3"/>
            <w:tcBorders/>
            <w:vAlign w:val="center"/>
          </w:tcPr>
          <w:p>
            <w:pPr>
              <w:pStyle w:val="TableContents"/>
              <w:bidi w:val="0"/>
              <w:spacing w:before="0" w:after="283"/>
              <w:jc w:val="left"/>
              <w:rPr>
                <w:sz w:val="4"/>
                <w:szCs w:val="4"/>
              </w:rPr>
            </w:pPr>
            <w:r>
              <w:rPr>
                <w:sz w:val="4"/>
                <w:szCs w:val="4"/>
              </w:rPr>
            </w:r>
          </w:p>
        </w:tc>
        <w:tc>
          <w:tcPr>
            <w:tcW w:w="1078"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02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15" w:type="dxa"/>
            <w:gridSpan w:val="3"/>
            <w:tcBorders/>
            <w:vAlign w:val="center"/>
          </w:tcPr>
          <w:p>
            <w:pPr>
              <w:pStyle w:val="TableContents"/>
              <w:bidi w:val="0"/>
              <w:spacing w:before="0" w:after="283"/>
              <w:jc w:val="left"/>
              <w:rPr>
                <w:sz w:val="4"/>
                <w:szCs w:val="4"/>
              </w:rPr>
            </w:pPr>
            <w:r>
              <w:rPr>
                <w:sz w:val="4"/>
                <w:szCs w:val="4"/>
              </w:rPr>
            </w:r>
          </w:p>
        </w:tc>
        <w:tc>
          <w:tcPr>
            <w:tcW w:w="1078"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02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15" w:type="dxa"/>
            <w:gridSpan w:val="3"/>
            <w:tcBorders/>
            <w:vAlign w:val="center"/>
          </w:tcPr>
          <w:p>
            <w:pPr>
              <w:pStyle w:val="TableContents"/>
              <w:bidi w:val="0"/>
              <w:spacing w:before="0" w:after="283"/>
              <w:jc w:val="left"/>
              <w:rPr>
                <w:sz w:val="4"/>
                <w:szCs w:val="4"/>
              </w:rPr>
            </w:pPr>
            <w:r>
              <w:rPr>
                <w:sz w:val="4"/>
                <w:szCs w:val="4"/>
              </w:rPr>
            </w:r>
          </w:p>
        </w:tc>
        <w:tc>
          <w:tcPr>
            <w:tcW w:w="1078"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02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expenses from operations</w:t>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89,842 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87,775 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from operations</w:t>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(4,520)</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(2,066)</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Gain (loss) from foreign currency transactions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(1,743)</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 net</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(1,750)</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(1,758)</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on partial extinguishment of debt</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(362)</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15" w:type="dxa"/>
            <w:gridSpan w:val="3"/>
            <w:tcBorders/>
            <w:vAlign w:val="center"/>
          </w:tcPr>
          <w:p>
            <w:pPr>
              <w:pStyle w:val="TableContents"/>
              <w:bidi w:val="0"/>
              <w:spacing w:before="0" w:after="283"/>
              <w:jc w:val="left"/>
              <w:rPr>
                <w:sz w:val="4"/>
                <w:szCs w:val="4"/>
              </w:rPr>
            </w:pPr>
            <w:r>
              <w:rPr>
                <w:sz w:val="4"/>
                <w:szCs w:val="4"/>
              </w:rPr>
            </w:r>
          </w:p>
        </w:tc>
        <w:tc>
          <w:tcPr>
            <w:tcW w:w="1078"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02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before income taxes</w:t>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(5,392)</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(5,567)</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(provision) benefit</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(856)</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1,574 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(6,248)</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(3,993)</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 available to common stockholders:</w:t>
            </w:r>
          </w:p>
        </w:tc>
        <w:tc>
          <w:tcPr>
            <w:tcW w:w="107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(6,248)</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(3,993)</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Convertible redeemable preferred stock dividends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(4,439)</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net loss available to common stockholders</w:t>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(6,248)</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(8,432)</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15" w:type="dxa"/>
            <w:gridSpan w:val="3"/>
            <w:tcBorders/>
            <w:vAlign w:val="center"/>
          </w:tcPr>
          <w:p>
            <w:pPr>
              <w:pStyle w:val="TableContents"/>
              <w:bidi w:val="0"/>
              <w:spacing w:before="0" w:after="283"/>
              <w:jc w:val="left"/>
              <w:rPr>
                <w:sz w:val="4"/>
                <w:szCs w:val="4"/>
              </w:rPr>
            </w:pPr>
            <w:r>
              <w:rPr>
                <w:sz w:val="4"/>
                <w:szCs w:val="4"/>
              </w:rPr>
            </w:r>
          </w:p>
        </w:tc>
        <w:tc>
          <w:tcPr>
            <w:tcW w:w="1078"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02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15" w:type="dxa"/>
            <w:gridSpan w:val="3"/>
            <w:tcBorders/>
            <w:vAlign w:val="center"/>
          </w:tcPr>
          <w:p>
            <w:pPr>
              <w:pStyle w:val="TableContents"/>
              <w:bidi w:val="0"/>
              <w:spacing w:before="0" w:after="283"/>
              <w:jc w:val="left"/>
              <w:rPr>
                <w:sz w:val="4"/>
                <w:szCs w:val="4"/>
              </w:rPr>
            </w:pPr>
            <w:r>
              <w:rPr>
                <w:sz w:val="4"/>
                <w:szCs w:val="4"/>
              </w:rPr>
            </w:r>
          </w:p>
        </w:tc>
        <w:tc>
          <w:tcPr>
            <w:tcW w:w="1078"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02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15" w:type="dxa"/>
            <w:gridSpan w:val="3"/>
            <w:tcBorders/>
            <w:vAlign w:val="center"/>
          </w:tcPr>
          <w:p>
            <w:pPr>
              <w:pStyle w:val="TableContents"/>
              <w:bidi w:val="0"/>
              <w:spacing w:before="0" w:after="283"/>
              <w:jc w:val="left"/>
              <w:rPr>
                <w:sz w:val="4"/>
                <w:szCs w:val="4"/>
              </w:rPr>
            </w:pPr>
            <w:r>
              <w:rPr>
                <w:sz w:val="4"/>
                <w:szCs w:val="4"/>
              </w:rPr>
            </w:r>
          </w:p>
        </w:tc>
        <w:tc>
          <w:tcPr>
            <w:tcW w:w="1078"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02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 per common share:</w:t>
            </w:r>
          </w:p>
        </w:tc>
        <w:tc>
          <w:tcPr>
            <w:tcW w:w="107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Basic and diluted</w:t>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(0.41)</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15" w:type="dxa"/>
            <w:gridSpan w:val="3"/>
            <w:tcBorders/>
            <w:vAlign w:val="center"/>
          </w:tcPr>
          <w:p>
            <w:pPr>
              <w:pStyle w:val="TableContents"/>
              <w:bidi w:val="0"/>
              <w:spacing w:before="0" w:after="283"/>
              <w:jc w:val="left"/>
              <w:rPr>
                <w:sz w:val="4"/>
                <w:szCs w:val="4"/>
              </w:rPr>
            </w:pPr>
            <w:r>
              <w:rPr>
                <w:sz w:val="4"/>
                <w:szCs w:val="4"/>
              </w:rPr>
            </w:r>
          </w:p>
        </w:tc>
        <w:tc>
          <w:tcPr>
            <w:tcW w:w="1078"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02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Weighted-average number of shares used in per share calculation - Common Stock:</w:t>
            </w:r>
          </w:p>
        </w:tc>
        <w:tc>
          <w:tcPr>
            <w:tcW w:w="10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Basic and diluted</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15,140,260 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5,088,576 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15" w:type="dxa"/>
            <w:gridSpan w:val="3"/>
            <w:tcBorders/>
            <w:vAlign w:val="center"/>
          </w:tcPr>
          <w:p>
            <w:pPr>
              <w:pStyle w:val="TableContents"/>
              <w:bidi w:val="0"/>
              <w:spacing w:before="0" w:after="283"/>
              <w:jc w:val="left"/>
              <w:rPr>
                <w:sz w:val="4"/>
                <w:szCs w:val="4"/>
              </w:rPr>
            </w:pPr>
            <w:r>
              <w:rPr>
                <w:sz w:val="4"/>
                <w:szCs w:val="4"/>
              </w:rPr>
            </w:r>
          </w:p>
        </w:tc>
        <w:tc>
          <w:tcPr>
            <w:tcW w:w="1078"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02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Comprehensive loss:</w:t>
            </w:r>
          </w:p>
        </w:tc>
        <w:tc>
          <w:tcPr>
            <w:tcW w:w="10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(6,248)</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(3,993)</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(loss) income:</w:t>
            </w:r>
          </w:p>
        </w:tc>
        <w:tc>
          <w:tcPr>
            <w:tcW w:w="10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 currency cumulative translation adjustment</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(1,941)</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2,639 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comprehensive loss</w:t>
            </w:r>
          </w:p>
        </w:tc>
        <w:tc>
          <w:tcPr>
            <w:tcW w:w="2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(8,189)</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(1,354)</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467" w:type="dxa"/>
            <w:gridSpan w:val="12"/>
            <w:tcBorders/>
            <w:tcMar>
              <w:top w:w="0" w:type="dxa"/>
              <w:left w:w="0" w:type="dxa"/>
              <w:bottom w:w="0" w:type="dxa"/>
              <w:right w:w="0" w:type="dxa"/>
            </w:tcMar>
            <w:vAlign w:val="center"/>
          </w:tcPr>
          <w:p>
            <w:pPr>
              <w:pStyle w:val="TableContents"/>
              <w:bidi w:val="0"/>
              <w:spacing w:lineRule="auto" w:line="240" w:before="40" w:after="283"/>
              <w:jc w:val="both"/>
              <w:rPr/>
            </w:pPr>
            <w:r>
              <w:rPr>
                <w:rFonts w:ascii="Times New Roman;serif" w:hAnsi="Times New Roman;serif"/>
                <w:b w:val="false"/>
                <w:color w:val="000000"/>
                <w:sz w:val="12"/>
              </w:rPr>
              <w:t>(1)</w:t>
            </w:r>
            <w:r>
              <w:rPr>
                <w:color w:val="000000"/>
              </w:rPr>
              <w:t xml:space="preserve"> </w:t>
            </w:r>
            <w:r>
              <w:rPr>
                <w:rFonts w:ascii="Times New Roman;serif" w:hAnsi="Times New Roman;serif"/>
                <w:b w:val="false"/>
                <w:color w:val="000000"/>
                <w:sz w:val="18"/>
              </w:rPr>
              <w:t>Excludes amortization of intangible assets, which is presented as a separate line item.</w:t>
            </w:r>
          </w:p>
        </w:tc>
        <w:tc>
          <w:tcPr>
            <w:tcW w:w="481" w:type="dxa"/>
            <w:gridSpan w:val="4"/>
            <w:tcBorders/>
          </w:tcPr>
          <w:p>
            <w:pPr>
              <w:pStyle w:val="TableContents"/>
              <w:bidi w:val="0"/>
              <w:spacing w:before="0" w:after="283"/>
              <w:jc w:val="left"/>
              <w:rPr>
                <w:sz w:val="4"/>
                <w:szCs w:val="4"/>
              </w:rPr>
            </w:pPr>
            <w:r>
              <w:rPr>
                <w:sz w:val="4"/>
                <w:szCs w:val="4"/>
              </w:rPr>
            </w:r>
          </w:p>
        </w:tc>
      </w:tr>
      <w:tr>
        <w:trPr/>
        <w:tc>
          <w:tcPr>
            <w:tcW w:w="8467" w:type="dxa"/>
            <w:gridSpan w:val="12"/>
            <w:tcBorders/>
            <w:tcMar>
              <w:top w:w="0" w:type="dxa"/>
              <w:left w:w="0" w:type="dxa"/>
              <w:bottom w:w="0" w:type="dxa"/>
              <w:right w:w="0" w:type="dxa"/>
            </w:tcMar>
            <w:vAlign w:val="center"/>
          </w:tcPr>
          <w:p>
            <w:pPr>
              <w:pStyle w:val="TableContents"/>
              <w:bidi w:val="0"/>
              <w:spacing w:lineRule="auto" w:line="240" w:before="0" w:after="40"/>
              <w:jc w:val="both"/>
              <w:rPr/>
            </w:pPr>
            <w:r>
              <w:rPr>
                <w:rFonts w:ascii="Times New Roman;serif" w:hAnsi="Times New Roman;serif"/>
                <w:b w:val="false"/>
                <w:color w:val="000000"/>
                <w:sz w:val="12"/>
              </w:rPr>
              <w:t xml:space="preserve">(2) </w:t>
            </w:r>
            <w:r>
              <w:rPr>
                <w:rFonts w:ascii="Times New Roman;serif" w:hAnsi="Times New Roman;serif"/>
                <w:b w:val="false"/>
                <w:color w:val="000000"/>
                <w:sz w:val="18"/>
              </w:rPr>
              <w:t>Stock-based compensation expense is included in the line items above as follows: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60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revenues</w:t>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214 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Selling and marketing</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171 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Research and development</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General and administrative</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313 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355 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stock-based compensation expense</w:t>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825 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738 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9"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COMSCORE,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(Unaudited)</w:t>
      </w:r>
    </w:p>
    <w:tbl>
      <w:tblPr>
        <w:tblW w:w="8225" w:type="dxa"/>
        <w:jc w:val="center"/>
        <w:tblInd w:w="0" w:type="dxa"/>
        <w:tblLayout w:type="fixed"/>
        <w:tblCellMar>
          <w:top w:w="28" w:type="dxa"/>
          <w:left w:w="28" w:type="dxa"/>
          <w:bottom w:w="28" w:type="dxa"/>
          <w:right w:w="28" w:type="dxa"/>
        </w:tblCellMar>
      </w:tblPr>
      <w:tblGrid>
        <w:gridCol w:w="2018"/>
        <w:gridCol w:w="1772"/>
        <w:gridCol w:w="1775"/>
        <w:gridCol w:w="211"/>
        <w:gridCol w:w="695"/>
        <w:gridCol w:w="117"/>
        <w:gridCol w:w="117"/>
        <w:gridCol w:w="117"/>
        <w:gridCol w:w="117"/>
        <w:gridCol w:w="211"/>
        <w:gridCol w:w="695"/>
        <w:gridCol w:w="117"/>
        <w:gridCol w:w="109"/>
        <w:gridCol w:w="154"/>
      </w:tblGrid>
      <w:tr>
        <w:trPr/>
        <w:tc>
          <w:tcPr>
            <w:tcW w:w="2018" w:type="dxa"/>
            <w:tcBorders/>
            <w:vAlign w:val="center"/>
          </w:tcPr>
          <w:p>
            <w:pPr>
              <w:pStyle w:val="TableContents"/>
              <w:bidi w:val="0"/>
              <w:spacing w:before="0" w:after="283"/>
              <w:jc w:val="left"/>
              <w:rPr>
                <w:sz w:val="4"/>
                <w:szCs w:val="4"/>
              </w:rPr>
            </w:pPr>
            <w:r>
              <w:rPr>
                <w:sz w:val="4"/>
                <w:szCs w:val="4"/>
              </w:rPr>
            </w:r>
          </w:p>
        </w:tc>
        <w:tc>
          <w:tcPr>
            <w:tcW w:w="1772" w:type="dxa"/>
            <w:tcBorders/>
            <w:vAlign w:val="center"/>
          </w:tcPr>
          <w:p>
            <w:pPr>
              <w:pStyle w:val="TableContents"/>
              <w:bidi w:val="0"/>
              <w:spacing w:before="0" w:after="283"/>
              <w:jc w:val="left"/>
              <w:rPr>
                <w:sz w:val="4"/>
                <w:szCs w:val="4"/>
              </w:rPr>
            </w:pPr>
            <w:r>
              <w:rPr>
                <w:sz w:val="4"/>
                <w:szCs w:val="4"/>
              </w:rPr>
            </w:r>
          </w:p>
        </w:tc>
        <w:tc>
          <w:tcPr>
            <w:tcW w:w="177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thousands)</w:t>
            </w:r>
          </w:p>
        </w:tc>
        <w:tc>
          <w:tcPr>
            <w:tcW w:w="10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8"/>
              </w:rPr>
              <w:t>Operating activities</w:t>
            </w:r>
            <w:r>
              <w:rPr>
                <w:rFonts w:ascii="Times New Roman;serif" w:hAnsi="Times New Roman;serif"/>
                <w:b w:val="false"/>
                <w:color w:val="000000"/>
                <w:sz w:val="18"/>
              </w:rPr>
              <w:t>:</w:t>
            </w:r>
          </w:p>
        </w:tc>
        <w:tc>
          <w:tcPr>
            <w:tcW w:w="10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(6,248)</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(3,993)</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Adjustments to reconcile net loss to net cash provided by operating activities:</w:t>
            </w:r>
          </w:p>
        </w:tc>
        <w:tc>
          <w:tcPr>
            <w:tcW w:w="10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w:t>
            </w:r>
          </w:p>
        </w:tc>
        <w:tc>
          <w:tcPr>
            <w:tcW w:w="9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5,948 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5,805 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Non-cash operating lease expense</w:t>
            </w:r>
          </w:p>
        </w:tc>
        <w:tc>
          <w:tcPr>
            <w:tcW w:w="9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1,177 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1,229 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expense of finance leases</w:t>
            </w:r>
          </w:p>
        </w:tc>
        <w:tc>
          <w:tcPr>
            <w:tcW w:w="9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919 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909 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 expense</w:t>
            </w:r>
          </w:p>
        </w:tc>
        <w:tc>
          <w:tcPr>
            <w:tcW w:w="9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825 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738 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Amortization of intangible assets </w:t>
            </w:r>
          </w:p>
        </w:tc>
        <w:tc>
          <w:tcPr>
            <w:tcW w:w="9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632 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632 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tax provision (benefit)</w:t>
            </w:r>
          </w:p>
        </w:tc>
        <w:tc>
          <w:tcPr>
            <w:tcW w:w="9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397 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(1,084)</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Non-cash loss on partial extinguishment of debt</w:t>
            </w:r>
          </w:p>
        </w:tc>
        <w:tc>
          <w:tcPr>
            <w:tcW w:w="9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312 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Unrealized foreign currency gain</w:t>
            </w:r>
          </w:p>
        </w:tc>
        <w:tc>
          <w:tcPr>
            <w:tcW w:w="9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(1,378)</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5" w:type="dxa"/>
            <w:gridSpan w:val="3"/>
            <w:tcBorders/>
            <w:vAlign w:val="center"/>
          </w:tcPr>
          <w:p>
            <w:pPr>
              <w:pStyle w:val="TableContents"/>
              <w:bidi w:val="0"/>
              <w:spacing w:before="0" w:after="283"/>
              <w:jc w:val="left"/>
              <w:rPr>
                <w:sz w:val="4"/>
                <w:szCs w:val="4"/>
              </w:rPr>
            </w:pPr>
            <w:r>
              <w:rPr>
                <w:sz w:val="4"/>
                <w:szCs w:val="4"/>
              </w:rPr>
            </w:r>
          </w:p>
        </w:tc>
        <w:tc>
          <w:tcPr>
            <w:tcW w:w="1023"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02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5" w:type="dxa"/>
            <w:gridSpan w:val="3"/>
            <w:tcBorders/>
            <w:vAlign w:val="center"/>
          </w:tcPr>
          <w:p>
            <w:pPr>
              <w:pStyle w:val="TableContents"/>
              <w:bidi w:val="0"/>
              <w:spacing w:before="0" w:after="283"/>
              <w:jc w:val="left"/>
              <w:rPr>
                <w:sz w:val="4"/>
                <w:szCs w:val="4"/>
              </w:rPr>
            </w:pPr>
            <w:r>
              <w:rPr>
                <w:sz w:val="4"/>
                <w:szCs w:val="4"/>
              </w:rPr>
            </w:r>
          </w:p>
        </w:tc>
        <w:tc>
          <w:tcPr>
            <w:tcW w:w="1023"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02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5" w:type="dxa"/>
            <w:gridSpan w:val="3"/>
            <w:tcBorders/>
            <w:vAlign w:val="center"/>
          </w:tcPr>
          <w:p>
            <w:pPr>
              <w:pStyle w:val="TableContents"/>
              <w:bidi w:val="0"/>
              <w:spacing w:before="0" w:after="283"/>
              <w:jc w:val="left"/>
              <w:rPr>
                <w:sz w:val="4"/>
                <w:szCs w:val="4"/>
              </w:rPr>
            </w:pPr>
            <w:r>
              <w:rPr>
                <w:sz w:val="4"/>
                <w:szCs w:val="4"/>
              </w:rPr>
            </w:r>
          </w:p>
        </w:tc>
        <w:tc>
          <w:tcPr>
            <w:tcW w:w="1023"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02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5" w:type="dxa"/>
            <w:gridSpan w:val="3"/>
            <w:tcBorders/>
            <w:vAlign w:val="center"/>
          </w:tcPr>
          <w:p>
            <w:pPr>
              <w:pStyle w:val="TableContents"/>
              <w:bidi w:val="0"/>
              <w:spacing w:before="0" w:after="283"/>
              <w:jc w:val="left"/>
              <w:rPr>
                <w:sz w:val="4"/>
                <w:szCs w:val="4"/>
              </w:rPr>
            </w:pPr>
            <w:r>
              <w:rPr>
                <w:sz w:val="4"/>
                <w:szCs w:val="4"/>
              </w:rPr>
            </w:r>
          </w:p>
        </w:tc>
        <w:tc>
          <w:tcPr>
            <w:tcW w:w="1023"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02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Other </w:t>
            </w:r>
          </w:p>
        </w:tc>
        <w:tc>
          <w:tcPr>
            <w:tcW w:w="9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963 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626 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Changes in operating assets and liabilities:</w:t>
            </w:r>
          </w:p>
        </w:tc>
        <w:tc>
          <w:tcPr>
            <w:tcW w:w="10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w:t>
            </w:r>
          </w:p>
        </w:tc>
        <w:tc>
          <w:tcPr>
            <w:tcW w:w="9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1,454 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14,056 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 and other assets</w:t>
            </w:r>
          </w:p>
        </w:tc>
        <w:tc>
          <w:tcPr>
            <w:tcW w:w="9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1,205 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(3,653)</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 accrued expenses and other liabilities</w:t>
            </w:r>
          </w:p>
        </w:tc>
        <w:tc>
          <w:tcPr>
            <w:tcW w:w="9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2,050 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(3,056)</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Contract liabilities and customer advances</w:t>
            </w:r>
          </w:p>
        </w:tc>
        <w:tc>
          <w:tcPr>
            <w:tcW w:w="9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6,341 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(699)</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liabilities</w:t>
            </w:r>
          </w:p>
        </w:tc>
        <w:tc>
          <w:tcPr>
            <w:tcW w:w="9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(2,097)</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(2,448)</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operating activities</w:t>
            </w:r>
          </w:p>
        </w:tc>
        <w:tc>
          <w:tcPr>
            <w:tcW w:w="9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12,500 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9,062 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8"/>
              </w:rPr>
              <w:t>Investing activities</w:t>
            </w:r>
            <w:r>
              <w:rPr>
                <w:rFonts w:ascii="Times New Roman;serif" w:hAnsi="Times New Roman;serif"/>
                <w:b w:val="false"/>
                <w:color w:val="000000"/>
                <w:sz w:val="18"/>
              </w:rPr>
              <w:t>:</w:t>
            </w:r>
          </w:p>
        </w:tc>
        <w:tc>
          <w:tcPr>
            <w:tcW w:w="10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Capitalized internal-use software costs</w:t>
            </w:r>
          </w:p>
        </w:tc>
        <w:tc>
          <w:tcPr>
            <w:tcW w:w="9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(5,855)</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(5,272)</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Purchases of property and equipment</w:t>
            </w:r>
          </w:p>
        </w:tc>
        <w:tc>
          <w:tcPr>
            <w:tcW w:w="9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(379)</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investing activities</w:t>
            </w:r>
          </w:p>
        </w:tc>
        <w:tc>
          <w:tcPr>
            <w:tcW w:w="9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(5,931)</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(5,651)</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8"/>
              </w:rPr>
              <w:t>Financing activities</w:t>
            </w:r>
            <w:r>
              <w:rPr>
                <w:rFonts w:ascii="Times New Roman;serif" w:hAnsi="Times New Roman;serif"/>
                <w:b w:val="false"/>
                <w:color w:val="000000"/>
                <w:sz w:val="18"/>
              </w:rPr>
              <w:t>:</w:t>
            </w:r>
          </w:p>
        </w:tc>
        <w:tc>
          <w:tcPr>
            <w:tcW w:w="10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5" w:type="dxa"/>
            <w:gridSpan w:val="3"/>
            <w:tcBorders/>
            <w:vAlign w:val="center"/>
          </w:tcPr>
          <w:p>
            <w:pPr>
              <w:pStyle w:val="TableContents"/>
              <w:bidi w:val="0"/>
              <w:spacing w:before="0" w:after="283"/>
              <w:jc w:val="left"/>
              <w:rPr>
                <w:sz w:val="4"/>
                <w:szCs w:val="4"/>
              </w:rPr>
            </w:pPr>
            <w:r>
              <w:rPr>
                <w:sz w:val="4"/>
                <w:szCs w:val="4"/>
              </w:rPr>
            </w:r>
          </w:p>
        </w:tc>
        <w:tc>
          <w:tcPr>
            <w:tcW w:w="1023"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02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Principal payments of term loan</w:t>
            </w:r>
          </w:p>
        </w:tc>
        <w:tc>
          <w:tcPr>
            <w:tcW w:w="9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(5,563)</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Principal payments on finance leases</w:t>
            </w:r>
          </w:p>
        </w:tc>
        <w:tc>
          <w:tcPr>
            <w:tcW w:w="9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(976)</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(871)</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Payment of preferred stock and common stock issuance costs</w:t>
            </w:r>
          </w:p>
        </w:tc>
        <w:tc>
          <w:tcPr>
            <w:tcW w:w="9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(907)</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Principal payments on insurance financing</w:t>
            </w:r>
          </w:p>
        </w:tc>
        <w:tc>
          <w:tcPr>
            <w:tcW w:w="9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(641)</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(620)</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Contingent consideration payment at initial value</w:t>
            </w:r>
          </w:p>
        </w:tc>
        <w:tc>
          <w:tcPr>
            <w:tcW w:w="9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(859)</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Payment of financing and debt issuance costs</w:t>
            </w:r>
          </w:p>
        </w:tc>
        <w:tc>
          <w:tcPr>
            <w:tcW w:w="9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(559)</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9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5" w:type="dxa"/>
            <w:gridSpan w:val="3"/>
            <w:tcBorders/>
            <w:vAlign w:val="center"/>
          </w:tcPr>
          <w:p>
            <w:pPr>
              <w:pStyle w:val="TableContents"/>
              <w:bidi w:val="0"/>
              <w:spacing w:before="0" w:after="283"/>
              <w:jc w:val="left"/>
              <w:rPr>
                <w:sz w:val="4"/>
                <w:szCs w:val="4"/>
              </w:rPr>
            </w:pPr>
            <w:r>
              <w:rPr>
                <w:sz w:val="4"/>
                <w:szCs w:val="4"/>
              </w:rPr>
            </w:r>
          </w:p>
        </w:tc>
        <w:tc>
          <w:tcPr>
            <w:tcW w:w="1023"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02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5" w:type="dxa"/>
            <w:gridSpan w:val="3"/>
            <w:tcBorders/>
            <w:vAlign w:val="center"/>
          </w:tcPr>
          <w:p>
            <w:pPr>
              <w:pStyle w:val="TableContents"/>
              <w:bidi w:val="0"/>
              <w:spacing w:before="0" w:after="283"/>
              <w:jc w:val="left"/>
              <w:rPr>
                <w:sz w:val="4"/>
                <w:szCs w:val="4"/>
              </w:rPr>
            </w:pPr>
            <w:r>
              <w:rPr>
                <w:sz w:val="4"/>
                <w:szCs w:val="4"/>
              </w:rPr>
            </w:r>
          </w:p>
        </w:tc>
        <w:tc>
          <w:tcPr>
            <w:tcW w:w="1023"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02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financing activities</w:t>
            </w:r>
          </w:p>
        </w:tc>
        <w:tc>
          <w:tcPr>
            <w:tcW w:w="9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(8,137)</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(3,022)</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Effect of exchange rate changes on cash, cash equivalents and restricted cash</w:t>
            </w:r>
          </w:p>
        </w:tc>
        <w:tc>
          <w:tcPr>
            <w:tcW w:w="9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644 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(decrease) increase in cash, cash equivalents and restricted cash</w:t>
            </w:r>
          </w:p>
        </w:tc>
        <w:tc>
          <w:tcPr>
            <w:tcW w:w="9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(1,718)</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1,033 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cash equivalents and restricted cash at beginning of period</w:t>
            </w:r>
          </w:p>
        </w:tc>
        <w:tc>
          <w:tcPr>
            <w:tcW w:w="9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26,800 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33,468 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cash equivalents and restricted cash at end of period</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25,082 </w:t>
            </w:r>
          </w:p>
        </w:tc>
        <w:tc>
          <w:tcPr>
            <w:tcW w:w="1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34,501 </w:t>
            </w:r>
          </w:p>
        </w:tc>
        <w:tc>
          <w:tcPr>
            <w:tcW w:w="1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color w:val="000000"/>
        </w:rPr>
      </w:pPr>
      <w:r>
        <w:rPr>
          <w:color w:val="000000"/>
        </w:rPr>
        <w:t>    </w:t>
      </w:r>
    </w:p>
    <w:tbl>
      <w:tblPr>
        <w:tblW w:w="5753" w:type="dxa"/>
        <w:jc w:val="center"/>
        <w:tblInd w:w="0" w:type="dxa"/>
        <w:tblLayout w:type="fixed"/>
        <w:tblCellMar>
          <w:top w:w="28" w:type="dxa"/>
          <w:left w:w="28" w:type="dxa"/>
          <w:bottom w:w="28" w:type="dxa"/>
          <w:right w:w="28" w:type="dxa"/>
        </w:tblCellMar>
      </w:tblPr>
      <w:tblGrid>
        <w:gridCol w:w="1262"/>
        <w:gridCol w:w="1105"/>
        <w:gridCol w:w="1112"/>
        <w:gridCol w:w="196"/>
        <w:gridCol w:w="646"/>
        <w:gridCol w:w="109"/>
        <w:gridCol w:w="109"/>
        <w:gridCol w:w="109"/>
        <w:gridCol w:w="109"/>
        <w:gridCol w:w="196"/>
        <w:gridCol w:w="646"/>
        <w:gridCol w:w="154"/>
      </w:tblGrid>
      <w:tr>
        <w:trPr/>
        <w:tc>
          <w:tcPr>
            <w:tcW w:w="1262" w:type="dxa"/>
            <w:tcBorders/>
            <w:vAlign w:val="center"/>
          </w:tcPr>
          <w:p>
            <w:pPr>
              <w:pStyle w:val="TableContents"/>
              <w:bidi w:val="0"/>
              <w:spacing w:before="0" w:after="283"/>
              <w:jc w:val="left"/>
              <w:rPr>
                <w:sz w:val="4"/>
                <w:szCs w:val="4"/>
              </w:rPr>
            </w:pPr>
            <w:r>
              <w:rPr>
                <w:sz w:val="4"/>
                <w:szCs w:val="4"/>
              </w:rPr>
            </w:r>
          </w:p>
        </w:tc>
        <w:tc>
          <w:tcPr>
            <w:tcW w:w="1105"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 xml:space="preserve">As of March 31, </w:t>
            </w:r>
          </w:p>
        </w:tc>
      </w:tr>
      <w:tr>
        <w:trPr/>
        <w:tc>
          <w:tcPr>
            <w:tcW w:w="34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22,044 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30,969 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Restricted cash</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Total cash, cash equivalents and restricted cash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25,082 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34,501 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10"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00" w:after="283"/>
        <w:jc w:val="both"/>
        <w:rPr>
          <w:rFonts w:ascii="Times New Roman;serif" w:hAnsi="Times New Roman;serif"/>
          <w:b/>
          <w:color w:val="000000"/>
          <w:sz w:val="20"/>
        </w:rPr>
      </w:pPr>
      <w:r>
        <w:rPr>
          <w:rFonts w:ascii="Times New Roman;serif" w:hAnsi="Times New Roman;serif"/>
          <w:b/>
          <w:color w:val="000000"/>
          <w:sz w:val="20"/>
        </w:rPr>
        <w:t>Reconciliation of Non-GAAP Financial Measures</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a reconciliation of GAAP net loss and net loss margin to non-GAAP adjusted EBITDA and adjusted EBITDA margin for each of the periods identified:</w:t>
      </w:r>
    </w:p>
    <w:tbl>
      <w:tblPr>
        <w:tblW w:w="7585" w:type="dxa"/>
        <w:jc w:val="center"/>
        <w:tblInd w:w="0" w:type="dxa"/>
        <w:tblLayout w:type="fixed"/>
        <w:tblCellMar>
          <w:top w:w="28" w:type="dxa"/>
          <w:left w:w="28" w:type="dxa"/>
          <w:bottom w:w="28" w:type="dxa"/>
          <w:right w:w="28" w:type="dxa"/>
        </w:tblCellMar>
      </w:tblPr>
      <w:tblGrid>
        <w:gridCol w:w="1459"/>
        <w:gridCol w:w="1276"/>
        <w:gridCol w:w="1284"/>
        <w:gridCol w:w="249"/>
        <w:gridCol w:w="804"/>
        <w:gridCol w:w="326"/>
        <w:gridCol w:w="109"/>
        <w:gridCol w:w="109"/>
        <w:gridCol w:w="109"/>
        <w:gridCol w:w="249"/>
        <w:gridCol w:w="804"/>
        <w:gridCol w:w="326"/>
        <w:gridCol w:w="109"/>
        <w:gridCol w:w="109"/>
        <w:gridCol w:w="109"/>
        <w:gridCol w:w="154"/>
      </w:tblGrid>
      <w:tr>
        <w:trPr/>
        <w:tc>
          <w:tcPr>
            <w:tcW w:w="1459"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1284"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0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thousands)</w:t>
            </w:r>
          </w:p>
        </w:tc>
        <w:tc>
          <w:tcPr>
            <w:tcW w:w="13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2026 (Unaudited)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2025 (Unaudited)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GAAP net loss</w:t>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(6,248)</w:t>
            </w:r>
          </w:p>
        </w:tc>
        <w:tc>
          <w:tcPr>
            <w:tcW w:w="3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(3,993)</w:t>
            </w:r>
          </w:p>
        </w:tc>
        <w:tc>
          <w:tcPr>
            <w:tcW w:w="3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w:t>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5,948 </w:t>
            </w:r>
          </w:p>
        </w:tc>
        <w:tc>
          <w:tcPr>
            <w:tcW w:w="3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5,805 </w:t>
            </w:r>
          </w:p>
        </w:tc>
        <w:tc>
          <w:tcPr>
            <w:tcW w:w="3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 net</w:t>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1,750 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1,758 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expense of finance leases</w:t>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919 </w:t>
            </w:r>
          </w:p>
        </w:tc>
        <w:tc>
          <w:tcPr>
            <w:tcW w:w="3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909 </w:t>
            </w:r>
          </w:p>
        </w:tc>
        <w:tc>
          <w:tcPr>
            <w:tcW w:w="3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intangible assets</w:t>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632 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632 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provision (benefit)</w:t>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856 </w:t>
            </w:r>
          </w:p>
        </w:tc>
        <w:tc>
          <w:tcPr>
            <w:tcW w:w="3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(1,574)</w:t>
            </w:r>
          </w:p>
        </w:tc>
        <w:tc>
          <w:tcPr>
            <w:tcW w:w="3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EBITDA</w:t>
            </w:r>
          </w:p>
        </w:tc>
        <w:tc>
          <w:tcPr>
            <w:tcW w:w="105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3,857 </w:t>
            </w:r>
          </w:p>
        </w:tc>
        <w:tc>
          <w:tcPr>
            <w:tcW w:w="3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3,537 </w:t>
            </w:r>
          </w:p>
        </w:tc>
        <w:tc>
          <w:tcPr>
            <w:tcW w:w="3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Adjustments:</w:t>
            </w:r>
          </w:p>
        </w:tc>
        <w:tc>
          <w:tcPr>
            <w:tcW w:w="13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 expense</w:t>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825 </w:t>
            </w:r>
          </w:p>
        </w:tc>
        <w:tc>
          <w:tcPr>
            <w:tcW w:w="3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738 </w:t>
            </w:r>
          </w:p>
        </w:tc>
        <w:tc>
          <w:tcPr>
            <w:tcW w:w="3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Strategic transaction costs </w:t>
            </w:r>
            <w:r>
              <w:rPr>
                <w:rFonts w:ascii="Times New Roman;serif" w:hAnsi="Times New Roman;serif"/>
                <w:b w:val="false"/>
                <w:color w:val="000000"/>
                <w:sz w:val="12"/>
              </w:rPr>
              <w:t>(1)</w:t>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514 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Transformation costs </w:t>
            </w:r>
            <w:r>
              <w:rPr>
                <w:rFonts w:ascii="Times New Roman;serif" w:hAnsi="Times New Roman;serif"/>
                <w:b w:val="false"/>
                <w:color w:val="000000"/>
                <w:sz w:val="12"/>
              </w:rPr>
              <w:t>(2)</w:t>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376 </w:t>
            </w:r>
          </w:p>
        </w:tc>
        <w:tc>
          <w:tcPr>
            <w:tcW w:w="3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1,007 </w:t>
            </w:r>
          </w:p>
        </w:tc>
        <w:tc>
          <w:tcPr>
            <w:tcW w:w="3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on partial extinguishment of debt</w:t>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362 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cloud-computing implementation costs</w:t>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355 </w:t>
            </w:r>
          </w:p>
        </w:tc>
        <w:tc>
          <w:tcPr>
            <w:tcW w:w="3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345 </w:t>
            </w:r>
          </w:p>
        </w:tc>
        <w:tc>
          <w:tcPr>
            <w:tcW w:w="3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(Gain) loss from foreign currency transactions</w:t>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(1,240)</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1,743 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19"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19"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19"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19"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19"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Non-GAAP adjusted EBITDA </w:t>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5,049 </w:t>
            </w:r>
          </w:p>
        </w:tc>
        <w:tc>
          <w:tcPr>
            <w:tcW w:w="3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7,370 </w:t>
            </w:r>
          </w:p>
        </w:tc>
        <w:tc>
          <w:tcPr>
            <w:tcW w:w="3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Net loss margin </w:t>
            </w:r>
            <w:r>
              <w:rPr>
                <w:rFonts w:ascii="Times New Roman;serif" w:hAnsi="Times New Roman;serif"/>
                <w:b w:val="false"/>
                <w:color w:val="000000"/>
                <w:sz w:val="12"/>
              </w:rPr>
              <w:t>(3)</w:t>
            </w:r>
          </w:p>
        </w:tc>
        <w:tc>
          <w:tcPr>
            <w:tcW w:w="1053"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w:t>
            </w:r>
          </w:p>
        </w:tc>
        <w:tc>
          <w:tcPr>
            <w:tcW w:w="3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w:t>
            </w:r>
          </w:p>
        </w:tc>
        <w:tc>
          <w:tcPr>
            <w:tcW w:w="3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Non-GAAP adjusted EBITDA margin </w:t>
            </w:r>
            <w:r>
              <w:rPr>
                <w:rFonts w:ascii="Times New Roman;serif" w:hAnsi="Times New Roman;serif"/>
                <w:b w:val="false"/>
                <w:color w:val="000000"/>
                <w:sz w:val="12"/>
              </w:rPr>
              <w:t>(4)</w:t>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5.9 </w:t>
            </w:r>
          </w:p>
        </w:tc>
        <w:tc>
          <w:tcPr>
            <w:tcW w:w="3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8.6 </w:t>
            </w:r>
          </w:p>
        </w:tc>
        <w:tc>
          <w:tcPr>
            <w:tcW w:w="3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pPr>
      <w:r>
        <w:rPr>
          <w:rFonts w:ascii="Times New Roman;serif" w:hAnsi="Times New Roman;serif"/>
          <w:b w:val="false"/>
          <w:color w:val="000000"/>
          <w:sz w:val="10"/>
        </w:rPr>
        <w:t xml:space="preserve">(1) </w:t>
      </w:r>
      <w:r>
        <w:rPr>
          <w:rFonts w:ascii="Times New Roman;serif" w:hAnsi="Times New Roman;serif"/>
          <w:b w:val="false"/>
          <w:color w:val="000000"/>
          <w:sz w:val="16"/>
        </w:rPr>
        <w:t>Strategic transaction costs represent third-party professional fees and other charges incurred in connection with strategic transactions, including mergers, acquisitions, financings and dispositions, regardless of whether consummated, which we otherwise would not have incurred as part of our normal business operations.</w:t>
      </w:r>
    </w:p>
    <w:p>
      <w:pPr>
        <w:pStyle w:val="TextBody"/>
        <w:bidi w:val="0"/>
        <w:spacing w:lineRule="auto" w:line="288" w:before="0" w:after="0"/>
        <w:jc w:val="both"/>
        <w:rPr/>
      </w:pPr>
      <w:r>
        <w:rPr>
          <w:rFonts w:ascii="Times New Roman;serif" w:hAnsi="Times New Roman;serif"/>
          <w:b w:val="false"/>
          <w:color w:val="000000"/>
          <w:sz w:val="10"/>
        </w:rPr>
        <w:t xml:space="preserve">(2) </w:t>
      </w:r>
      <w:r>
        <w:rPr>
          <w:rFonts w:ascii="Times New Roman;serif" w:hAnsi="Times New Roman;serif"/>
          <w:b w:val="false"/>
          <w:color w:val="000000"/>
          <w:sz w:val="16"/>
        </w:rPr>
        <w:t>Transformation costs represent (1) expenses incurred prior to formal launch of identified strategic projects with anticipated long-term benefits to the company, generally relating to third-party professional fees and non-capitalizable technology costs tied directly to the identified projects and (2) severance costs associated with the reorganization of our teams in connection with the identified projects.</w:t>
      </w:r>
    </w:p>
    <w:p>
      <w:pPr>
        <w:pStyle w:val="TextBody"/>
        <w:bidi w:val="0"/>
        <w:spacing w:lineRule="auto" w:line="288" w:before="0" w:after="0"/>
        <w:jc w:val="both"/>
        <w:rPr/>
      </w:pPr>
      <w:r>
        <w:rPr>
          <w:rFonts w:ascii="Times New Roman;serif" w:hAnsi="Times New Roman;serif"/>
          <w:b w:val="false"/>
          <w:color w:val="000000"/>
          <w:sz w:val="10"/>
        </w:rPr>
        <w:t xml:space="preserve">(3) </w:t>
      </w:r>
      <w:r>
        <w:rPr>
          <w:rFonts w:ascii="Times New Roman;serif" w:hAnsi="Times New Roman;serif"/>
          <w:b w:val="false"/>
          <w:color w:val="000000"/>
          <w:sz w:val="16"/>
        </w:rPr>
        <w:t>Net loss margin is calculated by dividing net loss by revenues reported on our Condensed Consolidated Statements of Operations and Comprehensive Loss for the applicable period.</w:t>
      </w:r>
    </w:p>
    <w:p>
      <w:pPr>
        <w:pStyle w:val="TextBody"/>
        <w:bidi w:val="0"/>
        <w:spacing w:lineRule="auto" w:line="288" w:before="0" w:after="0"/>
        <w:jc w:val="both"/>
        <w:rPr/>
      </w:pPr>
      <w:r>
        <w:rPr>
          <w:rFonts w:ascii="Times New Roman;serif" w:hAnsi="Times New Roman;serif"/>
          <w:b w:val="false"/>
          <w:color w:val="000000"/>
          <w:sz w:val="10"/>
        </w:rPr>
        <w:t>(4)</w:t>
      </w:r>
      <w:r>
        <w:rPr>
          <w:color w:val="000000"/>
        </w:rPr>
        <w:t xml:space="preserve"> </w:t>
      </w:r>
      <w:r>
        <w:rPr>
          <w:rFonts w:ascii="Times New Roman;serif" w:hAnsi="Times New Roman;serif"/>
          <w:b w:val="false"/>
          <w:color w:val="000000"/>
          <w:sz w:val="16"/>
        </w:rPr>
        <w:t>Non-GAAP adjusted EBITDA margin is calculated by dividing adjusted EBITDA by revenues reported on our Condensed Consolidated Statements of Operations and Comprehensive Loss for the applicable period.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11"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00" w:after="283"/>
        <w:jc w:val="both"/>
        <w:rPr>
          <w:rFonts w:ascii="Times New Roman;serif" w:hAnsi="Times New Roman;serif"/>
          <w:b/>
          <w:color w:val="000000"/>
          <w:sz w:val="20"/>
        </w:rPr>
      </w:pPr>
      <w:r>
        <w:rPr>
          <w:rFonts w:ascii="Times New Roman;serif" w:hAnsi="Times New Roman;serif"/>
          <w:b/>
          <w:color w:val="000000"/>
          <w:sz w:val="20"/>
        </w:rPr>
        <w:t>Revenues</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Revenues from our offerings of products and services are as follows:</w:t>
      </w:r>
    </w:p>
    <w:tbl>
      <w:tblPr>
        <w:tblW w:w="10205" w:type="dxa"/>
        <w:jc w:val="center"/>
        <w:tblInd w:w="0" w:type="dxa"/>
        <w:tblLayout w:type="fixed"/>
        <w:tblCellMar>
          <w:top w:w="28" w:type="dxa"/>
          <w:left w:w="28" w:type="dxa"/>
          <w:bottom w:w="28" w:type="dxa"/>
          <w:right w:w="28" w:type="dxa"/>
        </w:tblCellMar>
      </w:tblPr>
      <w:tblGrid>
        <w:gridCol w:w="736"/>
        <w:gridCol w:w="575"/>
        <w:gridCol w:w="550"/>
        <w:gridCol w:w="244"/>
        <w:gridCol w:w="807"/>
        <w:gridCol w:w="135"/>
        <w:gridCol w:w="114"/>
        <w:gridCol w:w="114"/>
        <w:gridCol w:w="114"/>
        <w:gridCol w:w="320"/>
        <w:gridCol w:w="265"/>
        <w:gridCol w:w="507"/>
        <w:gridCol w:w="114"/>
        <w:gridCol w:w="114"/>
        <w:gridCol w:w="114"/>
        <w:gridCol w:w="244"/>
        <w:gridCol w:w="807"/>
        <w:gridCol w:w="135"/>
        <w:gridCol w:w="114"/>
        <w:gridCol w:w="114"/>
        <w:gridCol w:w="114"/>
        <w:gridCol w:w="320"/>
        <w:gridCol w:w="265"/>
        <w:gridCol w:w="507"/>
        <w:gridCol w:w="114"/>
        <w:gridCol w:w="114"/>
        <w:gridCol w:w="114"/>
        <w:gridCol w:w="205"/>
        <w:gridCol w:w="640"/>
        <w:gridCol w:w="114"/>
        <w:gridCol w:w="114"/>
        <w:gridCol w:w="114"/>
        <w:gridCol w:w="114"/>
        <w:gridCol w:w="244"/>
        <w:gridCol w:w="244"/>
        <w:gridCol w:w="631"/>
      </w:tblGrid>
      <w:tr>
        <w:trPr/>
        <w:tc>
          <w:tcPr>
            <w:tcW w:w="736"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r>
      <w:tr>
        <w:trPr/>
        <w:tc>
          <w:tcPr>
            <w:tcW w:w="1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2"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thousands)</w:t>
            </w:r>
          </w:p>
        </w:tc>
        <w:tc>
          <w:tcPr>
            <w:tcW w:w="11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2026 (Unaudited)</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of Revenue</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2025 (Unaudited)</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of Revenue</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Variance</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Variance</w:t>
            </w:r>
          </w:p>
        </w:tc>
      </w:tr>
      <w:tr>
        <w:trPr/>
        <w:tc>
          <w:tcPr>
            <w:tcW w:w="18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Content &amp; Ad Measurement</w:t>
            </w:r>
          </w:p>
        </w:tc>
        <w:tc>
          <w:tcPr>
            <w:tcW w:w="11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Syndicated Audience </w:t>
            </w:r>
            <w:r>
              <w:rPr>
                <w:rFonts w:ascii="Times New Roman;serif" w:hAnsi="Times New Roman;serif"/>
                <w:b w:val="false"/>
                <w:color w:val="000000"/>
                <w:sz w:val="12"/>
              </w:rPr>
              <w:t>(1)</w:t>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60,511 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70.9 </w:t>
            </w:r>
          </w:p>
        </w:tc>
        <w:tc>
          <w:tcPr>
            <w:tcW w:w="5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63,504 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74.1 </w:t>
            </w:r>
          </w:p>
        </w:tc>
        <w:tc>
          <w:tcPr>
            <w:tcW w:w="5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(2,993)</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8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Cross-Platform</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12,602 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14.8 </w:t>
            </w:r>
          </w:p>
        </w:tc>
        <w:tc>
          <w:tcPr>
            <w:tcW w:w="5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9,662 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11.3 </w:t>
            </w:r>
          </w:p>
        </w:tc>
        <w:tc>
          <w:tcPr>
            <w:tcW w:w="5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2,940 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30.4 </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8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Content &amp; Ad Measurement</w:t>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73,113 </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85.7 </w:t>
            </w:r>
          </w:p>
        </w:tc>
        <w:tc>
          <w:tcPr>
            <w:tcW w:w="50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73,166 </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85.4 </w:t>
            </w:r>
          </w:p>
        </w:tc>
        <w:tc>
          <w:tcPr>
            <w:tcW w:w="50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8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Research &amp; Insight Solutions</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12,209 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14.3 </w:t>
            </w:r>
          </w:p>
        </w:tc>
        <w:tc>
          <w:tcPr>
            <w:tcW w:w="5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12,543 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14.6 </w:t>
            </w:r>
          </w:p>
        </w:tc>
        <w:tc>
          <w:tcPr>
            <w:tcW w:w="5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(334)</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8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revenues</w:t>
            </w:r>
          </w:p>
        </w:tc>
        <w:tc>
          <w:tcPr>
            <w:tcW w:w="2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85,322 </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100.0 </w:t>
            </w:r>
          </w:p>
        </w:tc>
        <w:tc>
          <w:tcPr>
            <w:tcW w:w="50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85,709 </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100.0 </w:t>
            </w:r>
          </w:p>
        </w:tc>
        <w:tc>
          <w:tcPr>
            <w:tcW w:w="50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(387)</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6"/>
            <w:tcBorders/>
            <w:shd w:fill="FFFFFF" w:val="clear"/>
            <w:tcMar>
              <w:top w:w="0" w:type="dxa"/>
              <w:left w:w="0" w:type="dxa"/>
              <w:bottom w:w="0" w:type="dxa"/>
              <w:right w:w="0" w:type="dxa"/>
            </w:tcMar>
            <w:vAlign w:val="center"/>
          </w:tcPr>
          <w:p>
            <w:pPr>
              <w:pStyle w:val="TableContents"/>
              <w:bidi w:val="0"/>
              <w:spacing w:lineRule="auto" w:line="240" w:before="0" w:after="0"/>
              <w:jc w:val="both"/>
              <w:rPr/>
            </w:pPr>
            <w:r>
              <w:rPr>
                <w:rFonts w:ascii="Times New Roman;serif" w:hAnsi="Times New Roman;serif"/>
                <w:b w:val="false"/>
                <w:color w:val="000000"/>
                <w:sz w:val="10"/>
              </w:rPr>
              <w:t>(1)</w:t>
            </w:r>
            <w:r>
              <w:rPr>
                <w:color w:val="000000"/>
              </w:rPr>
              <w:t xml:space="preserve"> </w:t>
            </w:r>
            <w:r>
              <w:rPr>
                <w:rFonts w:ascii="Times New Roman;serif" w:hAnsi="Times New Roman;serif"/>
                <w:b w:val="false"/>
                <w:color w:val="000000"/>
                <w:sz w:val="16"/>
              </w:rPr>
              <w:t>Syndicated Audience revenue includes revenue from our movies business, which grew from $9.4 million in the first quarter of 2025 to $10.0 million in the first quarter of 2026.</w:t>
            </w:r>
          </w:p>
        </w:tc>
      </w:tr>
    </w:tbl>
    <w:p>
      <w:pPr>
        <w:pStyle w:val="TextBody"/>
        <w:bidi w:val="0"/>
        <w:spacing w:before="100" w:after="283"/>
        <w:jc w:val="center"/>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75260"/>
                <wp:effectExtent l="0" t="0" r="0" b="0"/>
                <wp:wrapNone/>
                <wp:docPr id="12" name="Frame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3207</Words>
  <Characters>18513</Characters>
  <CharactersWithSpaces>21323</CharactersWithSpaces>
  <Paragraphs>622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