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0"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w:t>
      </w:r>
    </w:p>
    <w:p>
      <w:pPr>
        <w:spacing w:after="0" w:line="2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540" w:hanging="51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540" w:right="700" w:hanging="514"/>
        <w:spacing w:after="0" w:line="239" w:lineRule="auto"/>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001-33520</w:t>
      </w:r>
    </w:p>
    <w:p>
      <w:pPr>
        <w:spacing w:after="0" w:line="30"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COMSCORE,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(Exact Name of Registrant as Specified in its Charter)</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3920" w:type="dxa"/>
            <w:vAlign w:val="bottom"/>
            <w:tcBorders>
              <w:top w:val="single" w:sz="8" w:color="auto"/>
            </w:tcBorders>
          </w:tcPr>
          <w:p>
            <w:pPr>
              <w:jc w:val="center"/>
              <w:ind w:left="155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980" w:type="dxa"/>
            <w:vAlign w:val="bottom"/>
            <w:tcBorders>
              <w:top w:val="single" w:sz="8" w:color="auto"/>
            </w:tcBorders>
          </w:tcPr>
          <w:p>
            <w:pPr>
              <w:jc w:val="right"/>
              <w:ind w:right="2259"/>
              <w:spacing w:after="0"/>
              <w:rPr>
                <w:sz w:val="20"/>
                <w:szCs w:val="20"/>
                <w:color w:val="auto"/>
              </w:rPr>
            </w:pPr>
            <w:r>
              <w:rPr>
                <w:rFonts w:ascii="Times New Roman" w:cs="Times New Roman" w:eastAsia="Times New Roman" w:hAnsi="Times New Roman"/>
                <w:sz w:val="18"/>
                <w:szCs w:val="18"/>
                <w:b w:val="1"/>
                <w:bCs w:val="1"/>
                <w:color w:val="auto"/>
              </w:rPr>
              <w:t>54-1955550</w:t>
            </w:r>
          </w:p>
        </w:tc>
      </w:tr>
      <w:tr>
        <w:trPr>
          <w:trHeight w:val="190"/>
        </w:trPr>
        <w:tc>
          <w:tcPr>
            <w:tcW w:w="7260" w:type="dxa"/>
            <w:vAlign w:val="bottom"/>
            <w:gridSpan w:val="6"/>
          </w:tcPr>
          <w:p>
            <w:pPr>
              <w:jc w:val="center"/>
              <w:ind w:right="170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3980" w:type="dxa"/>
            <w:vAlign w:val="bottom"/>
          </w:tcPr>
          <w:p>
            <w:pPr>
              <w:jc w:val="center"/>
              <w:ind w:right="1499"/>
              <w:spacing w:after="0"/>
              <w:rPr>
                <w:sz w:val="20"/>
                <w:szCs w:val="20"/>
                <w:color w:val="auto"/>
              </w:rPr>
            </w:pPr>
            <w:r>
              <w:rPr>
                <w:rFonts w:ascii="Times New Roman" w:cs="Times New Roman" w:eastAsia="Times New Roman" w:hAnsi="Times New Roman"/>
                <w:sz w:val="14"/>
                <w:szCs w:val="14"/>
                <w:i w:val="1"/>
                <w:iCs w:val="1"/>
                <w:color w:val="auto"/>
              </w:rPr>
              <w:t>(I.R.S. Employer Identification Number)</w:t>
            </w:r>
          </w:p>
        </w:tc>
      </w:tr>
      <w:tr>
        <w:trPr>
          <w:trHeight w:val="23"/>
        </w:trPr>
        <w:tc>
          <w:tcPr>
            <w:tcW w:w="3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82"/>
        </w:trPr>
        <w:tc>
          <w:tcPr>
            <w:tcW w:w="3920" w:type="dxa"/>
            <w:vAlign w:val="bottom"/>
          </w:tcPr>
          <w:p>
            <w:pPr>
              <w:spacing w:after="0"/>
              <w:rPr>
                <w:sz w:val="24"/>
                <w:szCs w:val="24"/>
                <w:color w:val="auto"/>
              </w:rPr>
            </w:pPr>
          </w:p>
        </w:tc>
        <w:tc>
          <w:tcPr>
            <w:tcW w:w="33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11950 Democracy Drive, Suite 600</w:t>
            </w:r>
          </w:p>
        </w:tc>
        <w:tc>
          <w:tcPr>
            <w:tcW w:w="3980" w:type="dxa"/>
            <w:vAlign w:val="bottom"/>
          </w:tcPr>
          <w:p>
            <w:pPr>
              <w:spacing w:after="0"/>
              <w:rPr>
                <w:sz w:val="24"/>
                <w:szCs w:val="24"/>
                <w:color w:val="auto"/>
              </w:rPr>
            </w:pPr>
          </w:p>
        </w:tc>
      </w:tr>
      <w:tr>
        <w:trPr>
          <w:trHeight w:val="214"/>
        </w:trPr>
        <w:tc>
          <w:tcPr>
            <w:tcW w:w="3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Reston, Virginia 20190</w:t>
            </w:r>
          </w:p>
        </w:tc>
        <w:tc>
          <w:tcPr>
            <w:tcW w:w="3980" w:type="dxa"/>
            <w:vAlign w:val="bottom"/>
          </w:tcPr>
          <w:p>
            <w:pPr>
              <w:spacing w:after="0"/>
              <w:rPr>
                <w:sz w:val="18"/>
                <w:szCs w:val="18"/>
                <w:color w:val="auto"/>
              </w:rPr>
            </w:pPr>
          </w:p>
        </w:tc>
      </w:tr>
      <w:tr>
        <w:trPr>
          <w:trHeight w:val="190"/>
        </w:trPr>
        <w:tc>
          <w:tcPr>
            <w:tcW w:w="3920" w:type="dxa"/>
            <w:vAlign w:val="bottom"/>
          </w:tcPr>
          <w:p>
            <w:pPr>
              <w:spacing w:after="0"/>
              <w:rPr>
                <w:sz w:val="16"/>
                <w:szCs w:val="16"/>
                <w:color w:val="auto"/>
              </w:rPr>
            </w:pPr>
          </w:p>
        </w:tc>
        <w:tc>
          <w:tcPr>
            <w:tcW w:w="3340" w:type="dxa"/>
            <w:vAlign w:val="bottom"/>
            <w:gridSpan w:val="5"/>
          </w:tcPr>
          <w:p>
            <w:pPr>
              <w:jc w:val="center"/>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3980" w:type="dxa"/>
            <w:vAlign w:val="bottom"/>
          </w:tcPr>
          <w:p>
            <w:pPr>
              <w:spacing w:after="0"/>
              <w:rPr>
                <w:sz w:val="16"/>
                <w:szCs w:val="16"/>
                <w:color w:val="auto"/>
              </w:rPr>
            </w:pPr>
          </w:p>
        </w:tc>
      </w:tr>
      <w:tr>
        <w:trPr>
          <w:trHeight w:val="242"/>
        </w:trPr>
        <w:tc>
          <w:tcPr>
            <w:tcW w:w="3920" w:type="dxa"/>
            <w:vAlign w:val="bottom"/>
          </w:tcPr>
          <w:p>
            <w:pPr>
              <w:spacing w:after="0"/>
              <w:rPr>
                <w:sz w:val="21"/>
                <w:szCs w:val="21"/>
                <w:color w:val="auto"/>
              </w:rPr>
            </w:pPr>
          </w:p>
        </w:tc>
        <w:tc>
          <w:tcPr>
            <w:tcW w:w="2720" w:type="dxa"/>
            <w:vAlign w:val="bottom"/>
            <w:gridSpan w:val="3"/>
          </w:tcPr>
          <w:p>
            <w:pPr>
              <w:jc w:val="center"/>
              <w:ind w:left="599"/>
              <w:spacing w:after="0"/>
              <w:rPr>
                <w:sz w:val="20"/>
                <w:szCs w:val="20"/>
                <w:color w:val="auto"/>
              </w:rPr>
            </w:pPr>
            <w:r>
              <w:rPr>
                <w:rFonts w:ascii="Times New Roman" w:cs="Times New Roman" w:eastAsia="Times New Roman" w:hAnsi="Times New Roman"/>
                <w:sz w:val="18"/>
                <w:szCs w:val="18"/>
                <w:b w:val="1"/>
                <w:bCs w:val="1"/>
                <w:color w:val="auto"/>
                <w:w w:val="99"/>
              </w:rPr>
              <w:t>(703) 438-2000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980" w:type="dxa"/>
            <w:vAlign w:val="bottom"/>
          </w:tcPr>
          <w:p>
            <w:pPr>
              <w:spacing w:after="0"/>
              <w:rPr>
                <w:sz w:val="21"/>
                <w:szCs w:val="21"/>
                <w:color w:val="auto"/>
              </w:rPr>
            </w:pPr>
          </w:p>
        </w:tc>
      </w:tr>
      <w:tr>
        <w:trPr>
          <w:trHeight w:val="190"/>
        </w:trPr>
        <w:tc>
          <w:tcPr>
            <w:tcW w:w="3920" w:type="dxa"/>
            <w:vAlign w:val="bottom"/>
          </w:tcPr>
          <w:p>
            <w:pPr>
              <w:spacing w:after="0"/>
              <w:rPr>
                <w:sz w:val="16"/>
                <w:szCs w:val="16"/>
                <w:color w:val="auto"/>
              </w:rPr>
            </w:pPr>
          </w:p>
        </w:tc>
        <w:tc>
          <w:tcPr>
            <w:tcW w:w="3340" w:type="dxa"/>
            <w:vAlign w:val="bottom"/>
            <w:gridSpan w:val="5"/>
          </w:tcPr>
          <w:p>
            <w:pPr>
              <w:jc w:val="center"/>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3980" w:type="dxa"/>
            <w:vAlign w:val="bottom"/>
          </w:tcPr>
          <w:p>
            <w:pPr>
              <w:spacing w:after="0"/>
              <w:rPr>
                <w:sz w:val="16"/>
                <w:szCs w:val="16"/>
                <w:color w:val="auto"/>
              </w:rPr>
            </w:pPr>
          </w:p>
        </w:tc>
      </w:tr>
      <w:tr>
        <w:trPr>
          <w:trHeight w:val="253"/>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r>
              <w:rPr>
                <w:rFonts w:ascii="Times New Roman" w:cs="Times New Roman" w:eastAsia="Times New Roman" w:hAnsi="Times New Roman"/>
                <w:sz w:val="18"/>
                <w:szCs w:val="18"/>
                <w:color w:val="auto"/>
              </w:rPr>
              <w:t>:</w:t>
            </w:r>
          </w:p>
        </w:tc>
      </w:tr>
      <w:tr>
        <w:trPr>
          <w:trHeight w:val="300"/>
        </w:trPr>
        <w:tc>
          <w:tcPr>
            <w:tcW w:w="3920" w:type="dxa"/>
            <w:vAlign w:val="bottom"/>
          </w:tcPr>
          <w:p>
            <w:pPr>
              <w:jc w:val="center"/>
              <w:ind w:left="497"/>
              <w:spacing w:after="0"/>
              <w:rPr>
                <w:sz w:val="20"/>
                <w:szCs w:val="20"/>
                <w:color w:val="auto"/>
              </w:rPr>
            </w:pPr>
            <w:r>
              <w:rPr>
                <w:rFonts w:ascii="Times New Roman" w:cs="Times New Roman" w:eastAsia="Times New Roman" w:hAnsi="Times New Roman"/>
                <w:sz w:val="14"/>
                <w:szCs w:val="14"/>
                <w:color w:val="auto"/>
              </w:rPr>
              <w:t>Title of Each Class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color w:val="auto"/>
              </w:rPr>
              <w:t>Trading Symbol</w:t>
            </w:r>
          </w:p>
        </w:tc>
        <w:tc>
          <w:tcPr>
            <w:tcW w:w="3980" w:type="dxa"/>
            <w:vAlign w:val="bottom"/>
          </w:tcPr>
          <w:p>
            <w:pPr>
              <w:jc w:val="center"/>
              <w:ind w:right="45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3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50"/>
        </w:trPr>
        <w:tc>
          <w:tcPr>
            <w:tcW w:w="3920" w:type="dxa"/>
            <w:vAlign w:val="bottom"/>
          </w:tcPr>
          <w:p>
            <w:pPr>
              <w:jc w:val="center"/>
              <w:ind w:left="517"/>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rPr>
              <w:t>SCOR</w:t>
            </w:r>
          </w:p>
        </w:tc>
        <w:tc>
          <w:tcPr>
            <w:tcW w:w="3980" w:type="dxa"/>
            <w:vAlign w:val="bottom"/>
          </w:tcPr>
          <w:p>
            <w:pPr>
              <w:jc w:val="center"/>
              <w:ind w:right="439"/>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r>
        <w:rPr>
          <w:rFonts w:ascii="Times New Roman" w:cs="Times New Roman" w:eastAsia="Times New Roman" w:hAnsi="Times New Roman"/>
          <w:sz w:val="18"/>
          <w:szCs w:val="18"/>
          <w:color w:val="auto"/>
        </w:rPr>
        <w:t>: None.</w:t>
      </w:r>
    </w:p>
    <w:p>
      <w:pPr>
        <w:spacing w:after="0" w:line="30"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w:t>
      </w:r>
    </w:p>
    <w:p>
      <w:pPr>
        <w:spacing w:after="0" w:line="6" w:lineRule="exact"/>
        <w:rPr>
          <w:sz w:val="24"/>
          <w:szCs w:val="24"/>
          <w:color w:val="auto"/>
        </w:rPr>
      </w:pPr>
    </w:p>
    <w:p>
      <w:pPr>
        <w:ind w:right="3380"/>
        <w:spacing w:after="0" w:line="22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jc w:val="both"/>
        <w:spacing w:after="0" w:line="19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jc w:val="both"/>
        <w:spacing w:after="0" w:line="18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5" w:lineRule="exact"/>
        <w:rPr>
          <w:sz w:val="24"/>
          <w:szCs w:val="24"/>
          <w:color w:val="auto"/>
        </w:rPr>
      </w:pPr>
    </w:p>
    <w:p>
      <w:pPr>
        <w:ind w:right="300"/>
        <w:spacing w:after="0" w:line="268"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Large accelerated filer</w:t>
            </w:r>
          </w:p>
        </w:tc>
        <w:tc>
          <w:tcPr>
            <w:tcW w:w="3200" w:type="dxa"/>
            <w:vAlign w:val="bottom"/>
            <w:shd w:val="clear" w:color="auto" w:fill="CCEEFF"/>
          </w:tcPr>
          <w:p>
            <w:pPr>
              <w:ind w:left="1000"/>
              <w:spacing w:after="0" w:line="151" w:lineRule="exact"/>
              <w:rPr>
                <w:sz w:val="20"/>
                <w:szCs w:val="20"/>
                <w:color w:val="auto"/>
              </w:rPr>
            </w:pPr>
            <w:r>
              <w:rPr>
                <w:rFonts w:ascii="MS PGothic" w:cs="MS PGothic" w:eastAsia="MS PGothic" w:hAnsi="MS PGothic"/>
                <w:sz w:val="15"/>
                <w:szCs w:val="15"/>
                <w:color w:val="auto"/>
              </w:rPr>
              <w:t>☐</w:t>
            </w:r>
          </w:p>
        </w:tc>
        <w:tc>
          <w:tcPr>
            <w:tcW w:w="454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5"/>
                <w:szCs w:val="15"/>
                <w:color w:val="auto"/>
              </w:rPr>
              <w:t>Accelerated filer</w:t>
            </w:r>
          </w:p>
        </w:tc>
        <w:tc>
          <w:tcPr>
            <w:tcW w:w="1180" w:type="dxa"/>
            <w:vAlign w:val="bottom"/>
            <w:shd w:val="clear" w:color="auto" w:fill="CCEEFF"/>
          </w:tcPr>
          <w:p>
            <w:pPr>
              <w:ind w:left="860"/>
              <w:spacing w:after="0" w:line="151" w:lineRule="exact"/>
              <w:rPr>
                <w:sz w:val="20"/>
                <w:szCs w:val="20"/>
                <w:color w:val="auto"/>
              </w:rPr>
            </w:pPr>
            <w:r>
              <w:rPr>
                <w:rFonts w:ascii="MS PGothic" w:cs="MS PGothic" w:eastAsia="MS PGothic" w:hAnsi="MS PGothic"/>
                <w:sz w:val="15"/>
                <w:szCs w:val="15"/>
                <w:color w:val="auto"/>
              </w:rPr>
              <w:t>☐</w:t>
            </w:r>
          </w:p>
        </w:tc>
      </w:tr>
      <w:tr>
        <w:trPr>
          <w:trHeight w:val="203"/>
        </w:trPr>
        <w:tc>
          <w:tcPr>
            <w:tcW w:w="2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Non-accelerated filer</w:t>
            </w:r>
          </w:p>
        </w:tc>
        <w:tc>
          <w:tcPr>
            <w:tcW w:w="3200" w:type="dxa"/>
            <w:vAlign w:val="bottom"/>
          </w:tcPr>
          <w:p>
            <w:pPr>
              <w:ind w:left="1000"/>
              <w:spacing w:after="0" w:line="151" w:lineRule="exact"/>
              <w:rPr>
                <w:sz w:val="20"/>
                <w:szCs w:val="20"/>
                <w:color w:val="auto"/>
              </w:rPr>
            </w:pPr>
            <w:r>
              <w:rPr>
                <w:rFonts w:ascii="MS PGothic" w:cs="MS PGothic" w:eastAsia="MS PGothic" w:hAnsi="MS PGothic"/>
                <w:sz w:val="15"/>
                <w:szCs w:val="15"/>
                <w:color w:val="auto"/>
              </w:rPr>
              <w:t>☑</w:t>
            </w:r>
          </w:p>
        </w:tc>
        <w:tc>
          <w:tcPr>
            <w:tcW w:w="4540" w:type="dxa"/>
            <w:vAlign w:val="bottom"/>
          </w:tcPr>
          <w:p>
            <w:pPr>
              <w:ind w:left="20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180" w:type="dxa"/>
            <w:vAlign w:val="bottom"/>
          </w:tcPr>
          <w:p>
            <w:pPr>
              <w:ind w:left="860"/>
              <w:spacing w:after="0" w:line="151" w:lineRule="exact"/>
              <w:rPr>
                <w:sz w:val="20"/>
                <w:szCs w:val="20"/>
                <w:color w:val="auto"/>
              </w:rPr>
            </w:pPr>
            <w:r>
              <w:rPr>
                <w:rFonts w:ascii="MS PGothic" w:cs="MS PGothic" w:eastAsia="MS PGothic" w:hAnsi="MS PGothic"/>
                <w:sz w:val="15"/>
                <w:szCs w:val="15"/>
                <w:color w:val="auto"/>
              </w:rPr>
              <w:t>☑</w:t>
            </w:r>
          </w:p>
        </w:tc>
      </w:tr>
      <w:tr>
        <w:trPr>
          <w:trHeight w:val="203"/>
        </w:trPr>
        <w:tc>
          <w:tcPr>
            <w:tcW w:w="23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454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5"/>
                <w:szCs w:val="15"/>
                <w:color w:val="auto"/>
              </w:rPr>
              <w:t>Emerging growth company</w:t>
            </w:r>
          </w:p>
        </w:tc>
        <w:tc>
          <w:tcPr>
            <w:tcW w:w="1180" w:type="dxa"/>
            <w:vAlign w:val="bottom"/>
            <w:shd w:val="clear" w:color="auto" w:fill="CCEEFF"/>
          </w:tcPr>
          <w:p>
            <w:pPr>
              <w:ind w:left="860"/>
              <w:spacing w:after="0" w:line="151" w:lineRule="exact"/>
              <w:rPr>
                <w:sz w:val="20"/>
                <w:szCs w:val="20"/>
                <w:color w:val="auto"/>
              </w:rPr>
            </w:pPr>
            <w:r>
              <w:rPr>
                <w:rFonts w:ascii="MS PGothic" w:cs="MS PGothic" w:eastAsia="MS PGothic" w:hAnsi="MS PGothic"/>
                <w:sz w:val="15"/>
                <w:szCs w:val="15"/>
                <w:color w:val="auto"/>
              </w:rPr>
              <w:t>☐</w:t>
            </w:r>
          </w:p>
        </w:tc>
      </w:tr>
    </w:tbl>
    <w:p>
      <w:pPr>
        <w:spacing w:after="0" w:line="84" w:lineRule="exact"/>
        <w:rPr>
          <w:sz w:val="24"/>
          <w:szCs w:val="24"/>
          <w:color w:val="auto"/>
        </w:rPr>
      </w:pPr>
    </w:p>
    <w:p>
      <w:pPr>
        <w:jc w:val="both"/>
        <w:ind w:right="20"/>
        <w:spacing w:after="0" w:line="194"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 w:lineRule="exact"/>
        <w:rPr>
          <w:sz w:val="24"/>
          <w:szCs w:val="24"/>
          <w:color w:val="auto"/>
        </w:rPr>
      </w:pPr>
    </w:p>
    <w:p>
      <w:pPr>
        <w:jc w:val="both"/>
        <w:spacing w:after="0" w:line="19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ind w:right="120"/>
        <w:spacing w:after="0" w:line="179"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 w:lineRule="exact"/>
        <w:rPr>
          <w:sz w:val="24"/>
          <w:szCs w:val="24"/>
          <w:color w:val="auto"/>
        </w:rPr>
      </w:pPr>
    </w:p>
    <w:p>
      <w:pPr>
        <w:ind w:right="140"/>
        <w:spacing w:after="0" w:line="186"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73" w:lineRule="exact"/>
        <w:tabs>
          <w:tab w:leader="none" w:pos="6560" w:val="left"/>
        </w:tabs>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44"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aggregate market value of the registrant's voting and non-voting common equity held by non-affiliates of the registrant, as of June 28, 2024, the last business day of the registrant's most recently completed second fiscal quarter, was approximately $55.0 million (based on the closing price of the registrant's common stock on the Nasdaq Global Select Market on that date). Solely for purposes of this disclosure, shares of the registrant's common stock held by executive officers and directors and each person who owned 10% or more of the outstanding common stock of the registrant have been excluded in that such persons may be deemed to be affiliates. This determination of affiliate status is not a conclusive determination for other purposes.</w:t>
      </w:r>
    </w:p>
    <w:p>
      <w:pPr>
        <w:spacing w:after="0" w:line="6"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t>Indicate the number of shares outstanding of each of the registrant's classes of common stock, as of the latest practicable date: As of February 28, 2025, there were 4,913,077 shares of the registrant's common stock outstanding.</w:t>
      </w:r>
    </w:p>
    <w:p>
      <w:pPr>
        <w:spacing w:after="0" w:line="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46"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Specified portions of the registrant's Proxy Statement with respect to its 2025 Annual Meeting of Stockholders, to be filed with the Securities and Exchange Commission no later than 120 days following the end of the registrant's fiscal year ended December 31, 2024,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Table of Conte</w:t>
            </w:r>
            <w:r>
              <w:rPr>
                <w:rFonts w:ascii="Times New Roman" w:cs="Times New Roman" w:eastAsia="Times New Roman" w:hAnsi="Times New Roman"/>
                <w:sz w:val="18"/>
                <w:szCs w:val="18"/>
                <w:color w:val="0019FF"/>
              </w:rPr>
              <w:t>nts</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Borders>
              <w:top w:val="single" w:sz="8" w:color="0019FF"/>
            </w:tcBorders>
          </w:tcPr>
          <w:p>
            <w:pPr>
              <w:spacing w:after="0"/>
              <w:rPr>
                <w:sz w:val="24"/>
                <w:szCs w:val="24"/>
                <w:color w:val="auto"/>
              </w:rPr>
            </w:pPr>
          </w:p>
        </w:tc>
        <w:tc>
          <w:tcPr>
            <w:tcW w:w="160" w:type="dxa"/>
            <w:vAlign w:val="bottom"/>
            <w:tcBorders>
              <w:top w:val="single" w:sz="8" w:color="0019FF"/>
            </w:tcBorders>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60" w:type="dxa"/>
            <w:vAlign w:val="bottom"/>
            <w:gridSpan w:val="12"/>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w w:val="99"/>
              </w:rPr>
              <w:t>COMSCORE, INC.</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60" w:type="dxa"/>
            <w:vAlign w:val="bottom"/>
            <w:gridSpan w:val="15"/>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0" w:type="dxa"/>
            <w:vAlign w:val="bottom"/>
            <w:gridSpan w:val="18"/>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FOR THE PERIOD ENDED DECEMBER 31, 2024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60" w:type="dxa"/>
            <w:vAlign w:val="bottom"/>
            <w:gridSpan w:val="12"/>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10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100" w:type="dxa"/>
            <w:vAlign w:val="bottom"/>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0000FF"/>
              </w:rPr>
              <w:t>i</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PART I</w:t>
            </w:r>
          </w:p>
        </w:tc>
        <w:tc>
          <w:tcPr>
            <w:tcW w:w="3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14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Business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1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1A.</w:t>
            </w: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700" w:type="dxa"/>
            <w:vAlign w:val="bottom"/>
            <w:gridSpan w:val="19"/>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1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1B.</w:t>
            </w:r>
          </w:p>
        </w:tc>
        <w:tc>
          <w:tcPr>
            <w:tcW w:w="20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560" w:type="dxa"/>
            <w:vAlign w:val="bottom"/>
            <w:gridSpan w:val="1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1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1C.</w:t>
            </w:r>
          </w:p>
        </w:tc>
        <w:tc>
          <w:tcPr>
            <w:tcW w:w="10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7600" w:type="dxa"/>
            <w:vAlign w:val="bottom"/>
            <w:gridSpan w:val="18"/>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7880" w:type="dxa"/>
            <w:vAlign w:val="bottom"/>
            <w:gridSpan w:val="20"/>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PART II</w:t>
            </w: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Borders>
              <w:top w:val="single" w:sz="8" w:color="0000FF"/>
              <w:bottom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Securities</w:t>
            </w:r>
          </w:p>
        </w:tc>
        <w:tc>
          <w:tcPr>
            <w:tcW w:w="6000" w:type="dxa"/>
            <w:vAlign w:val="bottom"/>
            <w:tcBorders>
              <w:top w:val="single" w:sz="8" w:color="0000FF"/>
            </w:tcBorders>
            <w:gridSpan w:val="16"/>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940" w:type="dxa"/>
            <w:vAlign w:val="bottom"/>
            <w:gridSpan w:val="2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1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7A.</w:t>
            </w:r>
          </w:p>
        </w:tc>
        <w:tc>
          <w:tcPr>
            <w:tcW w:w="644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180" w:type="dxa"/>
            <w:vAlign w:val="bottom"/>
            <w:gridSpan w:val="4"/>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4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18"/>
                <w:szCs w:val="18"/>
                <w:color w:val="auto"/>
              </w:rPr>
            </w:pPr>
          </w:p>
        </w:tc>
        <w:tc>
          <w:tcPr>
            <w:tcW w:w="4260" w:type="dxa"/>
            <w:vAlign w:val="bottom"/>
            <w:gridSpan w:val="7"/>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1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9A.</w:t>
            </w:r>
          </w:p>
        </w:tc>
        <w:tc>
          <w:tcPr>
            <w:tcW w:w="17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1"/>
          </w:tcPr>
          <w:p>
            <w:pPr>
              <w:spacing w:after="0"/>
              <w:rPr>
                <w:sz w:val="18"/>
                <w:szCs w:val="18"/>
                <w:color w:val="auto"/>
              </w:rPr>
            </w:pPr>
          </w:p>
        </w:tc>
        <w:tc>
          <w:tcPr>
            <w:tcW w:w="2140" w:type="dxa"/>
            <w:vAlign w:val="bottom"/>
            <w:gridSpan w:val="3"/>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1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9B.</w:t>
            </w:r>
          </w:p>
        </w:tc>
        <w:tc>
          <w:tcPr>
            <w:tcW w:w="86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1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9C.</w:t>
            </w:r>
          </w:p>
        </w:tc>
        <w:tc>
          <w:tcPr>
            <w:tcW w:w="86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3"/>
              </w:rPr>
              <w:t>PART III</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76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280" w:type="dxa"/>
            <w:vAlign w:val="bottom"/>
            <w:tcBorders>
              <w:top w:val="single" w:sz="8" w:color="0000FF"/>
            </w:tcBorders>
            <w:gridSpan w:val="5"/>
          </w:tcPr>
          <w:p>
            <w:pPr>
              <w:spacing w:after="0"/>
              <w:rPr>
                <w:sz w:val="18"/>
                <w:szCs w:val="18"/>
                <w:color w:val="auto"/>
              </w:rPr>
            </w:pPr>
          </w:p>
        </w:tc>
        <w:tc>
          <w:tcPr>
            <w:tcW w:w="4520" w:type="dxa"/>
            <w:vAlign w:val="bottom"/>
            <w:gridSpan w:val="8"/>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3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32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160" w:type="dxa"/>
            <w:vAlign w:val="bottom"/>
            <w:gridSpan w:val="5"/>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w w:val="94"/>
              </w:rPr>
              <w:t>PART IV</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Item</w:t>
            </w:r>
          </w:p>
        </w:tc>
        <w:tc>
          <w:tcPr>
            <w:tcW w:w="2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6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460" w:type="dxa"/>
            <w:vAlign w:val="bottom"/>
            <w:gridSpan w:val="10"/>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3"/>
        </w:trPr>
        <w:tc>
          <w:tcPr>
            <w:tcW w:w="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We may make certain statements, including in this Annual Report on Form 10-K, or 10-K, including the information contained in </w:t>
      </w:r>
      <w:r>
        <w:rPr>
          <w:rFonts w:ascii="Times New Roman" w:cs="Times New Roman" w:eastAsia="Times New Roman" w:hAnsi="Times New Roman"/>
          <w:sz w:val="18"/>
          <w:szCs w:val="18"/>
          <w:i w:val="1"/>
          <w:iCs w:val="1"/>
          <w:u w:val="single" w:color="auto"/>
          <w:color w:val="0000FF"/>
        </w:rPr>
        <w:t>Item 7</w:t>
      </w:r>
      <w:r>
        <w:rPr>
          <w:rFonts w:ascii="Times New Roman" w:cs="Times New Roman" w:eastAsia="Times New Roman" w:hAnsi="Times New Roman"/>
          <w:sz w:val="18"/>
          <w:szCs w:val="18"/>
          <w:i w:val="1"/>
          <w:iCs w:val="1"/>
          <w:color w:val="auto"/>
        </w:rPr>
        <w:t>, "Management's Discussion and Analysis of Financial Condition and Results of Operations" of this 10-K, and the information incorporated by reference in this 10-K, that constitute forward-looking statements within the meaning of federal and state securities laws. Forward-looking statements are all statements other than statements of historical fact. We attempt to identify these forward-looking statements by words such as "may," "will," "should," "could," "might," "expect," "plan," "anticipate," "believe," "estimate," "target," "goal," "predict," "intend," "potential," "continue," "seek" and other comparable words. Similarly, statements that describe our business strategy, goals, prospects, opportunities, outlook, objectives, plans or intentions are also forward-looking statements. These statements may relate to, but are not limited to, expectations of future operating results or financial performance; expectations regarding our restructuring activities and cost-reduction initiatives; macroeconomic trends that we expect may influence our business, including declines in discretionary advertising spending; plans for financing and capital expenditures; expectations regarding liquidity, customer payments and compliance with debt and financing covenants, dividend requirements and other payment obligations; expectations regarding our commercial relationships and the development and introduction of new products; potential limitations on our net operating loss carryforwards and other tax assets; regulatory compliance and expected changes in the regulatory, industry or privacy landscape affecting our business; expected impact of litigation and regulatory proceedings; and plans for growth and future operations, as well as assumptions relating to the foregoing.</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Forward-looking statements are inherently subject to risks and uncertainties, some of which cannot be predicted or quantified. These statements are based on expectations and assumptions as of the date of this 10-K regarding future events and business performance and involve known and unknown risks, uncertainties and other factors that may cause actual events or results to be materially different from any future events or results expressed or implied by these statements. These factors include those set forth in the following discussion and within </w:t>
      </w:r>
      <w:r>
        <w:rPr>
          <w:rFonts w:ascii="Times New Roman" w:cs="Times New Roman" w:eastAsia="Times New Roman" w:hAnsi="Times New Roman"/>
          <w:sz w:val="18"/>
          <w:szCs w:val="18"/>
          <w:i w:val="1"/>
          <w:iCs w:val="1"/>
          <w:u w:val="single" w:color="auto"/>
          <w:color w:val="0000FF"/>
        </w:rPr>
        <w:t>Item 1A</w:t>
      </w:r>
      <w:r>
        <w:rPr>
          <w:rFonts w:ascii="Times New Roman" w:cs="Times New Roman" w:eastAsia="Times New Roman" w:hAnsi="Times New Roman"/>
          <w:sz w:val="18"/>
          <w:szCs w:val="18"/>
          <w:i w:val="1"/>
          <w:iCs w:val="1"/>
          <w:color w:val="auto"/>
        </w:rPr>
        <w:t>, "Risk Factors" of this 10-K and elsewhere within this report, and those identified in other documents that we file from time to time with the U.S. Securities and Exchange Commission, or SEC.</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We believe that it is important to communicate our future expectations to our investors. However, there may be events in the future that we are not able to accurately predict or control and that may cause our actual results to differ materially from the expectations we describe in our forward-looking statements. You should not place undue reliance on forward-looking statements, which apply only as of the date of this 10-K. You should carefully review the risk factors described in this 10-K and in other documents that we file from time to time with the SEC. Except as required by applicable law, including the rules and regulations of the SEC, we undertake no obligation, and expressly disclaim any duty, to publicly update or revise forward-looking statements, whether as a result of any new information, future events or otherwise. Although we believe the expectations reflected in the forward-looking statements are reasonable as of the date of this 10-K, our statements are not guarantees of future results, levels of activity, performance, or achievements, and actual outcomes and results may differ materially from those expressed in, or implied by, any of our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93"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BUSINESS</w:t>
      </w:r>
    </w:p>
    <w:p>
      <w:pPr>
        <w:spacing w:after="0" w:line="3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10-K to "Comscore," "we," "us," the "Company" and "our" refer to comScore, Inc. and its consolidated subsidiaries. We have registered trademarks around the globe, including Unified Digital Measurement®, UDM®, vCE®, Metrix®, Proximic®, XMedia®, Comscore Campaign Ratings®, Total Home Panel®, Essentials®, Box Office Essentials®, OnDemand Essentials®, and TV Essentials®. This 10-K also contains additional trademarks and trade names of our company and our subsidiaries. We file and maintain trademark protection for our products and services. All trademarks and trade names appearing in this 10-K are the property of their respective 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global information and analytics company that measures advertising, content, and the consumer audiences of each, across media platforms. We create our products using a global data platform that combines information on digital platforms (connected televisions, mobile devices, tablets and computers), televisions, direct to consumer applications, and movie screens with demographics and other descriptive information. We have developed proprietary data science that enables measurement of person-level and household-level audiences, removing duplicated viewing across devices and over time. This combination of data and methods enables a common standard for buyers and sellers to transact on advertising. This helps companies across the media ecosystem better understand and monetize their audiences and develop marketing plans and products to more efficiently and effectively reach those audiences. Our ability to unify behavioral and other descriptive data enables us to provide audience ratings, advertising verification and granular consumer segments that describe hundreds of millions of consumers. Our customers include digital publishers, television networks, movie studios, content owners, brand advertisers, agencies and technology providers.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platforms we measure include televisions, mobile devices, computers, tablets, connected TV ("CTV") devices and movie theaters. The information we analyze crosses geographies, types of content and activities, including websites, mobile and over-the-top applications, video games, television and movie programming, e-commerce and advertising.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Delaware corporation headquartered in Reston, Virginia with principal offices located at 11950 Democracy Drive, Suite 600, Reston, VA 20190.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telephone number is 703-438-2000.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Key Developments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Entry into New Credit Agreement</w:t>
      </w:r>
    </w:p>
    <w:p>
      <w:pPr>
        <w:spacing w:after="0" w:line="1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31, 2024, we entered into a senior secured financing agreement (the "Credit Agreement") with Blue Torch Finance LLC. The Credit Agreement has a term of four years and matures in December 2028.</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provides a borrowing capacity of $60.0 million, consisting of a $45.0 million term loan that was fully funded at closing and a $15.0 million revolving credit facility that was unfunded at closing. Initial proceeds from the Credit Agreement were used to resolve our aged accounts payable, cash collateralize our outstanding letters of credit, pay transaction fees and expenses, and strengthen our cash position.</w:t>
      </w:r>
    </w:p>
    <w:p>
      <w:pPr>
        <w:spacing w:after="0" w:line="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Footnote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Consolidated Financial Statements for additional information on the Credit Agreement, including various covenants applicable to our business.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and Termination of Prior Credit Agreement</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 2024, we entered into an amendment to our prior credit agreement with Bank of America, N.A. (the "Prior Credit Agreement"). Among other things, the amendment extended the maturity date of the facility, reduced our aggregate borrowing capacity under the facility, and increased the interest rate payable under the facility.</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 2024, we repaid the outstanding principal balance of $10.0 million under the Prior Credit Agreement. On November 5, 2024, we entered into another amendment to the Prior Credit Agreement to extend the maturity date with respect to the outstanding letters of credit under the facility and reduce the aggregate lender commitments to equal the outstanding letters of credit.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31, 2024, we terminated the Prior Credit Agreement. As described above, we used a portion of proceeds from the new Credit Agreement to cash collateralize our outstanding letters of credit under the Prior Credit Agreement. We had no other borrowings outstanding under the Prior Credit Agreement on the termination date.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Footnote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Consolidated Financial Statements for additional information on the Prior Credit Agreement.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Preferred Stock Issuance</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24, 2024, we issued 13,257,294 additional shares of Series B Convertible Preferred Stock, par value $0.001 per share ("Preferred Stock") to the existing holders of Preferred Stock in exchange for cancellation of our obligation to pay accrued dividends totaling $32.8 million to such holders for annual dividend periods ended in 2023 and 2024. The additional shares of Preferred Stock have the same terms and conditions as the Preferred Stock previously issued by us. In connection with the issuance, we also entered into an amendment to our Stockholders Agreement with the holders of Preferred Stock. Among other things, the amendment reduced the $100.0 million special dividend threshold set forth in the Stockholders Agreement by the liquidation preference of the additional Preferred Stock ($32.8 million). After further reducing the threshold by annual dividends paid in prior years, the current special dividend threshold is $47.0 million.</w:t>
      </w:r>
    </w:p>
    <w:p>
      <w:pPr>
        <w:spacing w:after="0" w:line="6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Footnote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Redeemable Preferred Stock and Stockholders' Equity (Deficit),</w:t>
      </w:r>
      <w:r>
        <w:rPr>
          <w:rFonts w:ascii="Times New Roman" w:cs="Times New Roman" w:eastAsia="Times New Roman" w:hAnsi="Times New Roman"/>
          <w:sz w:val="18"/>
          <w:szCs w:val="18"/>
          <w:color w:val="auto"/>
        </w:rPr>
        <w:t xml:space="preserve"> of the Notes to Consolidated Financial Statements for further information on the 2024 issuance of Preferred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Market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were founded in 1999 on the belief that digital technology would transform the interactions between people, media and brands in ways that would generate substantial demand for data and analytics about that interaction. The growing adoption of digital technologies also allowed measurement of the behavior of consumers' online activities. Based on this vision, we built a global opt-in panel that provided insight into online activities. Over the years we have enhanced our product offerings by uniting panel data with census-level data from website tags and other sources, and we expanded our presence in various markets. We also have access to millions of television and video on demand ("VOD") screens and the ability to measure box office results from movie screens across the world.</w:t>
      </w:r>
    </w:p>
    <w:p>
      <w:pPr>
        <w:spacing w:after="0" w:line="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2021, we acquired Shareablee, Inc. ("Shareablee"), allowing us to expand our Media Metrix® and Video Metrix® currencies to include Shareablee's social media engagement and video insights, in order to bridge the industry gap of traditional digital and social measurement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to Media Measurement</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approach to measuring media consumption addresses the ubiquitous nature of media content and the fragmentation caused by the variety of platforms and technologies used to access such content. Advertising exposure and effectiveness is another rapidly changing and fragmented area where we apply scale for validation and campaign measurement across devices, platforms and ecosystem technology providers. We believe this fragmentation presents major challenges to using legacy measurement systems that are comprised of relatively small panels of cooperating consumers or limited to specific media platforms. Our products and services are built on measurement and analytic capabilities comprised of broad-based data collection, proprietary databases, internally developed software and a computational infrastructure to measure, analyze and report on digital, television and movie activity at the level of granularity that we believe the media and advertising industries need.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 Collection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collection methods illustrate our extensive data sourcing:</w:t>
      </w:r>
    </w:p>
    <w:p>
      <w:pPr>
        <w:spacing w:after="0" w:line="104" w:lineRule="exact"/>
        <w:rPr>
          <w:sz w:val="20"/>
          <w:szCs w:val="20"/>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collect data from proprietary consumer panels that measure the use of computers, tablets and smartphones that access the internet. These panelists have agreed to install our passive metering software on their devices, home network or both.</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Comscore's Digital Census Data is our census digital network whereby content publishers share information with us. That sharing includes direct integrations with the publishers, as well as publishers' implementation of our software code (referred to as "tagging") on their websites, in mobile applications and video players to provide us usage information.</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license certain demographic and behavioral mobile and panel data from third-party data providers.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 television viewership information from satellite, telecommunications, connected (Smart) TV and cable operators covering tens of millions of television and VOD screens.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measure gross receipts and attendance information from movie screens across the world.</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integrate our digital and television viewership information with other third-party datasets that include consumer demographic characteristics, attitudes, lifestyles and purchase behavior.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integrate many of our services with programmatic advertising platforms.</w:t>
      </w:r>
    </w:p>
    <w:p>
      <w:pPr>
        <w:spacing w:after="0" w:line="63" w:lineRule="exact"/>
        <w:rPr>
          <w:rFonts w:ascii="Times New Roman" w:cs="Times New Roman" w:eastAsia="Times New Roman" w:hAnsi="Times New Roman"/>
          <w:sz w:val="18"/>
          <w:szCs w:val="18"/>
          <w:color w:val="auto"/>
        </w:rPr>
      </w:pPr>
    </w:p>
    <w:p>
      <w:pPr>
        <w:ind w:left="660" w:hanging="328"/>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knowledgeable in-house industry analysts that span verticals such as pharmaceuticals, media, finance, consumer packaged goods and political information to add value to our data.</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created an opt-in Total Home Panel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which can capture data that runs through a home's internet connection. This expands our intelligence to include such activity as game console and Internet of Things ("IOT") device usage.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collect content and advertising data from major social platforms for measurement, audience, and lift analysis.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 Science and Management</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ability to integrate, manage and transform massive amounts of data is core to our company. We continue to invest in technologies to enable large-scale measurement with protection of consumer privacy and attractive economics. Our systems contain multiple redundancies and advanced distributed processing technologies. We have created innovations such as:</w:t>
      </w:r>
    </w:p>
    <w:p>
      <w:pPr>
        <w:spacing w:after="0" w:line="52" w:lineRule="exact"/>
        <w:rPr>
          <w:sz w:val="20"/>
          <w:szCs w:val="20"/>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Unified Digital Measurement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("UDM") methodology, which allows us to combine person-centric panel data with website server data. We believe this gives our customers greater accuracy, granularity and relevance in audience measurement.</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TV measurement systems, underpinned by multiple patents, which enable us to provide a consistent measurement of TV audience sizes across national, local, and addressable television to customers evaluating programming as well as customers selling and buying TV advertising.</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ability to de-duplicate audiences across platforms, which is based on direct observations within our consumer panel and census data combined with proprietary data science. This de-duplication allows us to measure the reach and frequency of advertising and content exposure across platforms and over time.</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ability to capture the full content of a website or app session, which allows us to measure activity beyond page views such as purchase transactions, application submissions and product configurations.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ability to harness the power of artificial intelligence, or AI, to intelligently contextualize massive amounts of web and video content, which allows us to inform targeted and brand-safe advertising.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Delivery</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deliver our products and services through diverse methods to meet the needs of our customers. These include Software-as-a-Service ("SAAS") delivery platforms, application programming interfaces, data feeds that integrate directly with customer systems whether in-house or via data collaboration/data clean room environments, and integrations with advertising technology providers such as ad servers, customer and data management platforms, supply-side platforms, and demand-side platforms that enable data management, ad management and programmatic ad trading.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products and services help our customers reach audiences on the right platform, service the best creative content, and gain the right insights that can help marketers understand audience preferences. We do this by measuring audiences and consumer behavior across media platforms, while offering validation of advertising delivery and its effectiveness. Our customers include:</w:t>
      </w:r>
    </w:p>
    <w:p>
      <w:pPr>
        <w:spacing w:after="0" w:line="5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and national television broadcasters and content owners;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operators including cable companies, mobile operators and internet service providers;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Distributors of streaming video content;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content publishers and social media platforms;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technology companies that aggregate supply and demand side inventory for sale to end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agencies, including holding companies and independent agencies;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Movie studios and movie theater operators;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service companies, including investment firms, consumer banks and credit card issuers;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and retailers of consumer products such as consumer packaged goods, pharmaceuticals, automotive and electronics;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 and internet technology companies;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campaigns and related organizations.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products and services are organized around two solution groups:</w:t>
      </w:r>
    </w:p>
    <w:p>
      <w:pPr>
        <w:spacing w:after="0" w:line="104" w:lineRule="exact"/>
        <w:rPr>
          <w:sz w:val="20"/>
          <w:szCs w:val="20"/>
          <w:color w:val="auto"/>
        </w:rPr>
      </w:pPr>
    </w:p>
    <w:p>
      <w:pPr>
        <w:ind w:left="660" w:hanging="328"/>
        <w:spacing w:after="0" w:line="255" w:lineRule="auto"/>
        <w:tabs>
          <w:tab w:leader="none" w:pos="5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&amp; Ad Measurement represents the measurement portion of our business - measuring audiences across content and advertisements for linear TV, CTV, desktops, laptops, tablets and mobile devices. Product offerings reported in this solution group include our legacy subscription-based syndicated offerings that measure audiences for linear TV (national and local), digital and streaming, as well as theatrical box office receipts. Also included in this solution group are our transaction-based cross-platform products, Proximic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by Comscore ("Proximic"), our Activation solution suite, and Comscore Campaign Ratings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("CCR"). These syndicated and cross-platform products are used as currency to plan and execute ad campaigns, measure the outcome of ad campaigns, optimize ad campaigns that are in-flight, activate programmatic campaigns, and make content easier for programmatic advertisers to reach.</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&amp; Insight Solutions represents the custom solutions we provide that are tailored to our clients' specific needs. These offerings include custom TV, digital and cross-platform data feeds, as well as other data integrations. They also include our survey business, our Consumer Brand Health business, and other bespoke research, data and insight deliverables that help our clients better understand their business, competitive landscape, clients and market.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categorize our revenue along these two solution groups; however, our cost structure is tracked at the corporate level and not by our solution groups.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shared costs include employee costs, purchased data, operational overhead, data storage and technology that supports multiple solution groups.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Content &amp; Ad Measurement - Syndicated Audience products and services include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Comscore TV - National, which combines TV viewing information with marketing segmentation and consumer databases for enhanced audience intelligence. Comscore TV - National data is also used in analytical applications to help customers better understand the performance of network advertising campaigns.</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Comscore TV - Local, which allows customers to better understand consumer viewing patterns and characteristics across local TV stations and cable channels in their market(s) to promote viewership of a particular station and negotiate inventory pricing based on the size, value and relevance of the audience.</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Metrix Multi-Platform and Mobile Metrix, which measure websites and applications on computers, smartphones and tablets across dozens of countries, are leading currencies for online media planning and enable customers to analyze audience size, reach, engagement, demographics and other characteristics. Publishers use Media Metrix Multi-Platform and Mobile Metrix to demonstrate the value of their audiences and understand market dynamics, and advertisers and their agencies use Media Metrix Multi-Platform and Mobile Metrix to plan and execute effective marketing and content campaigns. These products also provide competitive intelligence such as cross-site visiting patterns, traffic source/loss reporting and local market trends.</w:t>
      </w:r>
    </w:p>
    <w:p>
      <w:pPr>
        <w:spacing w:after="0" w:line="25"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Metrix Multi-Platform, which delivers unduplicated measurement of digital video consumption across computer, smartphone, tablet and CTV devices and provides TV-comparable reach and engagement metrics, as well as audience demographics.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Metrix, which provides an understanding of consumer lifestyle, buying and other consumption habits, online and offline, by integrating attitudes and interests with online behavior and provides customers with insight into patterns and trends needed to develop and execute advertising and marketing campaigns.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Cross-Platform Content Ratings, which provide a deduplicated view of audiences' media consumption across TV, digital, CTV and social platforms.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OnDemand Essentials, which provides multichannel video programming distributors and content providers with transactional tracking and reporting based on millions of television screens, enabling our customers to plan advertising campaigns that more precisely target consumers watching on-demand video content.</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Movie Solutions, including Box Office Essentials and International Box Office Essentials, which provide detailed measurement of domestic and international theatrical gross receipts and attendance, with movie-specific information across the globe; PostTrak, which is an exit polling service that reports audience demographics and the aspects of each title that trigger interest and attendance; and Swift, which is an electronic box office reporting system that facilitates the flow of reconciled theater-level ticket transactions.</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Hollywood Software Suite, including Comscore Theatrical Distribution System ("TDS"), Comscore Exhibitor Management System ("EMS"), Comscore Enterprise Web, and Cinema Auditorium Control Engine ("ACE"). Comscore TDS is an advanced software to help manage theatrical distribution worldwide. Comscore EMS provides a virtual staff of booking assistants and accountants working to consolidate point-of-sale data. Comscore Enterprise Web gives circuit managers an over-the-shoulder look at operations inside their theaters. Cinema ACE is a theater management system that drives productivity and efficiency across digital cinema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Content &amp; Ad Measurement - Cross-Platform products and services include</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66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Activation Solutions (branded as Proximic), including Audience Activation and Content Activation. Comscore Audience Activation offers targeting with demographics and cross-screen behaviors for digital, mobile and CTV campaigns. Comscore Content Activation provides a robust set of pre-bid inventory filters to help marketers and media companies achieve brand-safe, relevant campaign delivery across desktop, mobile, podcasts, and CTV. Within the Content Activation suite, Predictive Audiences delivers contextually delivered, ID-free segments based on granular audience behaviors.</w:t>
      </w:r>
    </w:p>
    <w:p>
      <w:pPr>
        <w:spacing w:after="0" w:line="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CCR, which expands upon validated Campaign Essentials ("vCE") verification of mobile and desktop video campaigns with the addition of video advertising delivered via digital, CTV and TV and provides unduplicated reporting that enables ad buyers and sellers to negotiate and evaluate campaigns across media platforms.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Insight Solutions products and services include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Comscore Marketing Solutions, which provide analytics that integrate online visitation and advertising data, TV viewing, purchase transactions, attitudinal research and other information assets. These custom deliverables are designed to meet client needs in specific industries such as automotive, financial services, media, retail, travel, telecommunications and technology. Applications include path-to-purchase analyses, competitive benchmarking, market segmentation studies, and branded content analytics.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95" w:lineRule="exact"/>
        <w:rPr>
          <w:sz w:val="20"/>
          <w:szCs w:val="20"/>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Lift Models, which measure the impact of advertising on a brand across multiple behavioral and attitudinal dimensions such as brand awareness, purchase intent, online visitation, online and offline purchase behavior and retail store visitation, enabling customers to fine tune campaign strategy and execution.</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Home Panel Suite, including CTV Intelligence and Connected Home, which capture CTV and IOT device usage and content consumption. Comscore Connected Home enables users to better understand consumer engagement with technology and media by measuring behavior across network and router-connected devices in the home. Comscore CTV Intelligence provides clients with critical insight into consumer streaming activity on TV-connected devices, including smart TVs, streaming sticks and boxes, and gaming consoles.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 Analytics, which measure various types of consumer insights including brand health metrics.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span our business of media and cross-platform measurement, encompassing data collection, data science, analytical application development and product delivery. We continue to focus on enhancing our coverage and scale, precision and granularity across diverse types of media, devices and geographies using our census, panel and other data assets.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our research and development initiatives include:</w:t>
      </w:r>
    </w:p>
    <w:p>
      <w:pPr>
        <w:spacing w:after="0" w:line="10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recruiting methods and software applications;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technologies to manage, stage and deliver cross-platform data and analytics through traditional web-based user interfaces and via integration with customer systems;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solutions to continue to measure the online media space while honoring increased privacy concerns, including the development of industry-compatible, interoperable methodologies that will function as browser, regulatory, and legal environments change;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new methodologies to measure person-level TV and digital consumption at scale and across platforms; and</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develop expertise in combining multiple data assets, both to leverage single-platform datasets into representative cross-platform measurements as well as working with the data of partner companies, allowing us to enhance existing services and create new and innovative audience measurement products. These efforts include original research into the measurement of data overlaps and de-duplication in the measurement of reach.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Product Innovation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Engineering Products for a Privacy Centric World</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digital measurement is centered upon using first party panel data combined with additional information captured through census measurement and data partnerships. Historically, we have used cookies and mobile advertising IDs to provide additional context and scale to our digital audience measurement solutions, as well as to assist in more targeted measurement and reportability. The continued development of opt-in permissions and enhanced focus on consent-based measurement provide the benefit of limiting the transfer of consumer personal information, but also mean changes to data collection, storage and delivery processes. In particular, limitations on the use of cookies and similar technologies create significant challenges for products that use these technologies for data collection and measurement.</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innovate and adapt our methodologies to lead the transition to a more privacy-centric world. A key component is leveraging our capabilities in panels, which we believe give us a competitive advantage in digital and cross-platform management. In parallel, our work with existing and new partners to collaborate and test emerging solutions is intended to expand the reach of our large-scale integrations. We are creating measurement innovations designed to produce stronger products engineered for privacy-first methodologies.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Comscore Predictive Audiences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signal loss from evolving privacy laws and third-party cookie deprecation across many environments, advertisers need bold new solutions to ensure their campaigns continue to reach the right audiences without interruption. In response to this need, we launched Predictive Audiences – an ID-free targeting capability that enables advertisers to reach audiences based on granular consumer behavior through privacy-friendly contextual signals. This solution delivers scale and precision beyond what was previously available in the industry, and can be used across digital, mobile, and CTV campaigns.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intellectual property assets are important to protect our business. We protect our innovations and products with numerous patents, trademarks, copyrights, trade secrets, and other intellectual property. In particular, we file for, and seek to acquire patent rights for our innovations and we continue to seek to enhance our patent portfolio through targeted and strategic patent filings and licensing opportunities. We believe that we own the material trademarks used in connection with the marketing, distribution and sale of our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products, both domestically and internationally. We will continue to pursue intellectual property opportunities in areas and technologies that we deem to be strategic and appropriate for our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Patents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patents extend across our data capture and processing techniques and include the following:</w:t>
      </w:r>
    </w:p>
    <w:p>
      <w:pPr>
        <w:spacing w:after="0" w:line="104" w:lineRule="exact"/>
        <w:rPr>
          <w:sz w:val="20"/>
          <w:szCs w:val="20"/>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Collection</w:t>
      </w:r>
      <w:r>
        <w:rPr>
          <w:rFonts w:ascii="Times New Roman" w:cs="Times New Roman" w:eastAsia="Times New Roman" w:hAnsi="Times New Roman"/>
          <w:sz w:val="18"/>
          <w:szCs w:val="18"/>
          <w:color w:val="auto"/>
        </w:rPr>
        <w:t xml:space="preserve"> - metering such as biometrics and audio fingerprinting, tagging such as video viewability, browser optimization, IP obfuscation and TV-off measurement methodology.</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Processing</w:t>
      </w:r>
      <w:r>
        <w:rPr>
          <w:rFonts w:ascii="Times New Roman" w:cs="Times New Roman" w:eastAsia="Times New Roman" w:hAnsi="Times New Roman"/>
          <w:sz w:val="18"/>
          <w:szCs w:val="18"/>
          <w:color w:val="auto"/>
        </w:rPr>
        <w:t xml:space="preserve"> - traffic and content categorization, demographic attribution, ad effectiveness measurement, data overlap and fusion, invalid traffic detection, data weighting, projection and processing of return path data, and personification of viewership data.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Trademarks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file and maintain trademark protection for our products and services. We rely on trademarks and service marks to protect our intellectual property assets and believe these are important to our marketing efforts and the competitive value of our products and services. We have registered trademarks around the globe, including Unified Digital Measurement®, UDM®, vCE®, Metrix®, Proximic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XMedia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Comscore Campaign Ratings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Total Home Panel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Essentials®, Box Office Essentials®, OnDemand Essentials®, and TV Essentials®. This 10-K also contains additional trademarks and trade names of our Company and our subsidiaries. All trademarks and trade names appearing in this 10-K are the property of their respective holders.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Licenses</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license data from third-party providers across the media platforms that we measure. Our licenses include agreements with satellite, telecommunications and cable operators covering television and VOD viewership data, third-party scheduling datasets and data matching partners, and agreements with providers of demographic and behavioral mobile and panel data. See "Our Approach to Media Measurement" above for a discussion of our data sourcing.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for audience and advertising measurement products is highly competitive and is evolving rapidly. We compete primarily with other providers of media intelligence and related analytical products and services. We also compete with providers of marketing services and solutions, with full-service survey providers and with internal solutions developed by customers and potential customers. Our principal competitors include:</w:t>
      </w:r>
    </w:p>
    <w:p>
      <w:pPr>
        <w:spacing w:after="0" w:line="5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Full-service market research firms;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Television measurement competitors, including traditional incumbents and emerging startups;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provide audience ratings for TV, radio and other media that have extended or may extend their current services, particularly in certain international markets, to the measurement of digital media;</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advertising companies that provide measurement of online ad effectiveness and ad delivery used for billing purposes;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provide digital advertising technology point solutions;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provide audience and content measurement, programmatic targeting and competitive intelligence across digital platforms;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Analytical services companies that provide customers with detailed information about behavior on their own websites;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report Smart TV data;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provide consumers with TV and digital services, including cable and satellite TV providers.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compete based on the following principal factors:</w:t>
      </w:r>
    </w:p>
    <w:p>
      <w:pPr>
        <w:spacing w:after="0" w:line="10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provide accurate measurement of digital audiences across multiple digital platforms;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provide TV audience measurement based on large-scale data that increases accuracy and reduces variability;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provide deduplicated audience and content measurement across platforms;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provide actual, accurate and reliable data regarding audience behavior and activity in a timely manner, including the ability to maintain large and statistically representative panels;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provide reliable and objective third-party data that, as needed, is able to receive industry-accepted accreditation;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adapt product offerings to emerging digital media technologies and standards;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breadth and depth of products and their flexibility and ease of use;</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data across various industry verticals and geographic areas and expertise across these verticals and in these geographic areas;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products that meet the changing needs of customers, particularly in the evolving privacy environment.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we compete favorably on these factors and that our vision and investments in the future of media measurement across platforms will deliver products and services that our customers will continue to trust and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Privacy</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Data security and privacy laws apply to our various businesses. We have programs in place to detect, contain and respond to data security incidents; however, increasing technology risks or unauthorized users who successfully breach our network security could misappropriate or misuse our proprietary information or cause interruptions in our services. Many countries have data protection laws with different requirements than those in the U.S., and many states in the U.S. have or are developing their own data protection and privacy requirements, including requirements governing the use and disclosure of AI capabilities. This evolving framework has resulted, and may continue to result, in inconsistent requirements and differing interpretations across jurisdictions.</w:t>
      </w:r>
    </w:p>
    <w:p>
      <w:pPr>
        <w:spacing w:after="0" w:line="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Governments, privacy advocates and class action attorneys are increasingly scrutinizing how companies collect, process, use, store, share and transmit personal data. A number of laws have come into effect over the past decade, and there are proposals pending before federal, state and foreign legislative and regulatory bodies that have affected and are likely to continue to affect our business. For example, the European Union's ("EU") General Data Protection Regulation, or GDPR, has imposed more stringent EU data protection requirements with greater penalties for noncompliance. In addition, regulators in the EU, the U.S. and elsewhere have increasingly focused on transparency, consent, consumer choice and the collection of data using tracking technologies. In the EU, cross-border data transfers are increasingly scrutinized to ensure compliance, and there have been expanded enforcement efforts in this area. A number of U.S. states have also adopted comprehensive privacy laws governing the collection and use of personal information, with more expected in 2025 and beyond. These U.S. federal and state and foreign laws and regulations, which in some cases can be enforced by private parties in addition to government entities, are constantly evolving and impose new and complex requirements on our business. Failure to comply with these laws or other privacy, data collection, data transfer, disclosure or consent requirements, could result in substantial penalties and reputational harm.</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monitor actions by the Federal Communications Commission, the Federal Trade Commission, and their state and foreign counterparts, including regulatory developments relating to data security, privacy and AI as well as developments affecting Internet Service Providers, advertisers and other industry participants more broadly.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management of human capital is essential to the success of our company, and our management team is actively engaged in developing a strong, engaged team to execute on our business plans.</w:t>
      </w:r>
    </w:p>
    <w:p>
      <w:pPr>
        <w:spacing w:after="0" w:line="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31, 2025, we had approximately 1,200 employees. Our employee population, which is comprised 93% of full-time employees and 7% of part-time employees, is dispersed across the globe, as outlined below as of December 31, 2024.</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tcPr>
          <w:p>
            <w:pPr>
              <w:spacing w:after="0"/>
              <w:rPr>
                <w:sz w:val="16"/>
                <w:szCs w:val="16"/>
                <w:color w:val="auto"/>
              </w:rPr>
            </w:pPr>
          </w:p>
        </w:tc>
        <w:tc>
          <w:tcPr>
            <w:tcW w:w="1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Percent of Employees</w:t>
            </w:r>
          </w:p>
        </w:tc>
      </w:tr>
      <w:tr>
        <w:trPr>
          <w:trHeight w:val="23"/>
        </w:trPr>
        <w:tc>
          <w:tcPr>
            <w:tcW w:w="97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59%</w:t>
            </w:r>
          </w:p>
        </w:tc>
      </w:tr>
      <w:tr>
        <w:trPr>
          <w:trHeight w:val="213"/>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Asia-Pacific Rim</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w:t>
            </w:r>
          </w:p>
        </w:tc>
      </w:tr>
      <w:tr>
        <w:trPr>
          <w:trHeight w:val="210"/>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Latin America</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w:t>
            </w: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the percentage of employees in different functional areas as of December 31,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 Employees</w:t>
            </w:r>
          </w:p>
        </w:tc>
      </w:tr>
      <w:tr>
        <w:trPr>
          <w:trHeight w:val="23"/>
        </w:trPr>
        <w:tc>
          <w:tcPr>
            <w:tcW w:w="97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and Technology</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56%</w:t>
            </w:r>
          </w:p>
        </w:tc>
      </w:tr>
      <w:tr>
        <w:trPr>
          <w:trHeight w:val="213"/>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Service</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Movies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Engagement &amp; Retention</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development, attraction and retention of talent is critical to the success of our business. We focus on building employee engagement; developing a positive culture of trust, transparency, learning, and involvement; and providing competitive pay and benefits structures to attract and retain employees and protect the intellectual capital that we have built. We regularly review our employee turnover and satisfaction rates, and develop strategies and tactics to improve employee engagement and retention. On average, employee tenure is approximately six years, and more than 10% of our employees have been employed by our company for more than ten years.</w:t>
      </w:r>
    </w:p>
    <w:p>
      <w:pPr>
        <w:spacing w:after="0" w:line="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seek to attract and retain the best talent from a diverse group of sources around the world, in order to meet our current and future staffing needs. In addition to a robust employee referral practice and independent outreach, we have developed relationships with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universities, professional associations, and industry alliances to further increase our outreach and talent pool. In 2024, our company conducted hiring in North America, Europe, India, and Latin America.</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 feasible within the countries in which we operate, we provide a competitive and varied portfolio of healthcare, wellness, financial, and other benefit offerings to suit the diverse needs and lifestyles of our employees. Within the United States, 84% of our eligible employee population was enrolled in one of our healthcare plans as of December 31, 2024.</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provide virtual, on-demand learning opportunities to all employees, and we also develop and deliver custom learning programs to meet specific business needs and employee interests. In 2024, approximately 65% of our employees participated in learning activities through the on-demand portal.</w:t>
      </w:r>
    </w:p>
    <w:p>
      <w:pPr>
        <w:spacing w:after="0" w:line="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we have strong labor practices and employee-friendly policies that enable a culture of trust, collaboration, and compliance. Our employment standards begin and end with respect for the dignity and worth of each person. Employees have multiple avenues through which to express opinions, ideas, and concerns, which enables an open culture of communication and inclusion; our policies require that complaints are investigated and any findings are addressed. Our employees are not represented by labor unions outside of those few countries where union representation is a customary practice of doing business. We operate a Compliance Management System, a key component of which is mandatory training for all employees in areas including workplace harassment and our code of business conduct.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 Environment</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we have created a work environment that represents our commitment to safety and wellness. We provide both system and technology capability as well as personal support, including wellness activities and resources, social activities, and support for working parents. Supporting the person, not just the "worker," allows us to maintain business operations without endangering employees or customers. We had no safety incidents reported in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Diversity and Inclusion</w:t>
      </w:r>
    </w:p>
    <w:p>
      <w:pPr>
        <w:spacing w:after="0" w:line="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strive to build and develop a workforce that reflects diversity, equity, and inclusion at all levels of the organization in accordance with applicable law. Our view is that our culture of involvement and appreciation of different backgrounds and perspectives enables us to more fully develop and leverage the strengths of our workforce to serve our customers and meet our business objectives. We place a high value on inclusion and employee-led opportunities across the Company, including Employee Resource Groups ("ERGs") which are sponsored by senior leadership but are developed and maintained by diverse groups of employees who share or champion common interests, representations, or causes. Membership in ERGs is open to all employees. We currently have ERGs in support of LGBTQ+ persons, people of color, women, emerging professionals, parents and caregivers, and remote workers. We have amplified our conversation and actions relating specifically to inclusion and diversity over recent years, taking a more active executive stance and implementing learning and development initiatives, additional ERGs, and expanded employee gatherings and activities.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Locations and Geographic Areas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are located around the globe with employees in 15 countries. Our primary geographic market for employees is the United States, followed by Asia, Europe, Latin America and Canada. For information with respect to sales by geographic markets, refer to </w:t>
      </w:r>
      <w:r>
        <w:rPr>
          <w:rFonts w:ascii="Times New Roman" w:cs="Times New Roman" w:eastAsia="Times New Roman" w:hAnsi="Times New Roman"/>
          <w:sz w:val="18"/>
          <w:szCs w:val="18"/>
          <w:u w:val="single" w:color="auto"/>
          <w:color w:val="0000FF"/>
        </w:rPr>
        <w:t>Footnote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of the Notes to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Officers and Executive Director</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Jonathan (Jon) Carpenter </w:t>
      </w:r>
      <w:r>
        <w:rPr>
          <w:rFonts w:ascii="Times New Roman" w:cs="Times New Roman" w:eastAsia="Times New Roman" w:hAnsi="Times New Roman"/>
          <w:sz w:val="18"/>
          <w:szCs w:val="18"/>
          <w:color w:val="auto"/>
        </w:rPr>
        <w:t>has served as our Chief Executive Officer since July 2022 and as a director since June 2024. Mr. Carpenter was our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and Treasurer from November 2021 to July 2022. He previously served as Chief Financial Officer of Publishers Clearing House, a direct marketing and media company, from June 2016 until November 2021. Prior to Publishers Clearing House, he served in divisional CFO roles for Nielsen Company, Sears Holdings and NBC Universal. He began his career with General Electric in the GE Financial Management Program. Mr. Carpenter holds a bachelor's degree in economics from the University of Vermont.</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Mary Margaret Curry </w:t>
      </w:r>
      <w:r>
        <w:rPr>
          <w:rFonts w:ascii="Times New Roman" w:cs="Times New Roman" w:eastAsia="Times New Roman" w:hAnsi="Times New Roman"/>
          <w:sz w:val="18"/>
          <w:szCs w:val="18"/>
          <w:color w:val="auto"/>
        </w:rPr>
        <w:t>has served as our Chief Financial Officer and Treasurer since July 2022 and as our Chief Accounting Officer since December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Curry joined Comscore in 2011 and has served in roles of increasing scope and responsibility since then, including as Global Tax Director (August 2011 to July 2015), Senior Director of Global Tax Compliance and Reporting (July 2015 to May 2018), Vice President of Tax and Treasury (May 2018 to November 2020) and Senior Vice President and Controller (November 2020 to December 2021). Prior to joining Comscore, she spent nine years with KPMG. Ms. Curry holds bachelor's and master's degrees in accounting from East Carolina University and is a Certified Public Accountant.</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Stephen (Steve) Bagdasarian </w:t>
      </w:r>
      <w:r>
        <w:rPr>
          <w:rFonts w:ascii="Times New Roman" w:cs="Times New Roman" w:eastAsia="Times New Roman" w:hAnsi="Times New Roman"/>
          <w:sz w:val="18"/>
          <w:szCs w:val="18"/>
          <w:color w:val="auto"/>
        </w:rPr>
        <w:t>has served as our Chief Commercial Officer since November 2023 and was our Executive Vice President, Growth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2022 to November 2023. Mr. Bagdasarian previously served as Chief Operating Officer, Digital (January 2022 – October 2022), General Manager, Media and Strategy (July 2019 – December 2021) and General Manager, Liquid Wireless (July 2014 – July 2019) of Publishers Clearing House, a direct marketing and media company. Prior to Publishers Clearing House, he held a number of senior business development, strategy and marketing roles with digital technology companies. Mr.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Bagdasarian is a member of TBD Angels, an angel investor group, and has invested and served as an advisor to several early-stage digital technology companies. He holds a bachelor's degree from College of the Holy Cross and a master's degree in business administration from Babson F.W. Olin Graduate School of Business.</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Gregory (Greg) Dale </w:t>
      </w:r>
      <w:r>
        <w:rPr>
          <w:rFonts w:ascii="Times New Roman" w:cs="Times New Roman" w:eastAsia="Times New Roman" w:hAnsi="Times New Roman"/>
          <w:sz w:val="18"/>
          <w:szCs w:val="18"/>
          <w:color w:val="auto"/>
        </w:rPr>
        <w:t>has served as our Chief Operating Officer since August 2022 and was our General Manager, Digital from December 2021 to August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Mr. Dale previously served as Chief Operating Officer of Shareablee, Inc., a social media marketing analytics company, from July 2018 through our acquisition of Shareablee in December 2021. Prior to Shareablee, he was Chief Operating Officer of Persado, an artificial intelligence-based marketing content platform, from 2016 to 2018. Mr. Dale previously held senior roles with Comscore from 1999 to 2016, and prior to that, worked with data and analytics firm Information Resources, Inc. He holds a bachelor's degree from Purdue University.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Non-Executive Directors</w:t>
      </w:r>
    </w:p>
    <w:p>
      <w:pPr>
        <w:spacing w:after="0" w:line="1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Dr. Nana Banerjee </w:t>
      </w:r>
      <w:r>
        <w:rPr>
          <w:rFonts w:ascii="Times New Roman" w:cs="Times New Roman" w:eastAsia="Times New Roman" w:hAnsi="Times New Roman"/>
          <w:sz w:val="18"/>
          <w:szCs w:val="18"/>
          <w:color w:val="auto"/>
        </w:rPr>
        <w:t>brings extensive experience in leading, innovating, and scaling analytics and technology businesses globally. Dr. Banerjee has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Comscore director since March 2021 and was Chairman of the Board from July 2022 to September 2024. Dr. Banerjee served as President and CEO and a member of the Board of Directors of Pelmorex Corp., a global climate analytics and public safety alerting company, from April 2023 to January 2025. He previously served as a senior advisor to the CEO of Cerberus Capital Management, a private equity firm, from September 2021 until April 2023. He also served on the Board of multiple Cerberus portfolio companies. From March 2020 to September 2021, he served as a Senior Managing Director of Cerberus Global Technology Solutions. Prior to joining Cerberus, he served as the President and CEO of McGraw-Hill, an education solutions company, and as a member of its Board of Directors. Previously, he was Group President and an Executive Officer of Verisk Analytics, a data analytics company, with responsibility for its high-growth businesses as well as oversight responsibility for its joint data and development environment and its centralized AI and advanced analytics organizations. He joined Verisk as part of its acquisition of Argus Information and Advisory Services, where he was CEO, and co-president and chief operating officer in prior roles. In other prior roles, Dr. Banerjee served as head of Citibank's credit card business in the United Kingdom and as vice president of marketing and analytics at GE Capital. Dr. Banerjee has a Ph.D. in applied mathematics from the State University of New York, an M.S. degree in mathematics from the Indian Institute of Technology, Delhi, and a B.S. degree with honors in mathematics from St. Stephens College, Delhi. Dr. Banerjee's extensive experience with information services, data analytics, and technology transformation businesses enable him to bring valuable perspective to our Board.</w:t>
      </w:r>
    </w:p>
    <w:p>
      <w:pPr>
        <w:spacing w:after="0" w:line="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Itzhak Fisher </w:t>
      </w:r>
      <w:r>
        <w:rPr>
          <w:rFonts w:ascii="Times New Roman" w:cs="Times New Roman" w:eastAsia="Times New Roman" w:hAnsi="Times New Roman"/>
          <w:sz w:val="18"/>
          <w:szCs w:val="18"/>
          <w:color w:val="auto"/>
        </w:rPr>
        <w:t>has served as a director since March 2021 and as Chairman of the Board since November 2024. Mr. Fisher is the Chairman and founder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to present) of Pereg Ventures, a venture capital fund that invests in B2B information services businesses across the United States and Israel. Previously, he served as the EVP of global product, strategy and business development at Nielsen, as founder and Executive Chairman of Trendum, and as President and CEO of RSL Communications, where he built a telecommunications company that operated in over 20 countries and generated more than $1.5 billion in revenues. Mr. Fisher received a B.S. in Computer Science from New York Institute of Technology and completed advanced studies in computer science at New York University. His other affiliations include the Rwanda Development Board and Rwanda Mines, Petroleum and Gas Board; Strategic Advisory Group, Goldman Sachs; Advisory Board, NYU Courant Institute of Mathematical Sciences; and President's Council, Tufts University. Mr. Fisher brings to our Board substantial experience in creating, operating and investing in digital, media and retail companies.</w:t>
      </w:r>
    </w:p>
    <w:p>
      <w:pPr>
        <w:spacing w:after="0" w:line="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Leslie Gillin </w:t>
      </w:r>
      <w:r>
        <w:rPr>
          <w:rFonts w:ascii="Times New Roman" w:cs="Times New Roman" w:eastAsia="Times New Roman" w:hAnsi="Times New Roman"/>
          <w:sz w:val="18"/>
          <w:szCs w:val="18"/>
          <w:color w:val="auto"/>
        </w:rPr>
        <w:t>has served as a director since January 2023. Ms. Gillin is Chief Growth Officer of Pagaya Technologies, a financial technology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where she oversees global growth strategy, business development, marketing, public relations and external communications. She joined Pagaya in October 2021 from JPMorgan Chase, where she served as Chief Marketing Officer of the firm (December 2019 to April 2021) and prior to that was President of Chase's CoBrand Cards Services (February 2017 to December 2019). Ms. Gillin has also held senior executive leadership positions at Bank of America, Citi and MBNA, including leadership roles in Canada and Europe. She has been recognized as one of </w:t>
      </w:r>
      <w:r>
        <w:rPr>
          <w:rFonts w:ascii="Times New Roman" w:cs="Times New Roman" w:eastAsia="Times New Roman" w:hAnsi="Times New Roman"/>
          <w:sz w:val="18"/>
          <w:szCs w:val="18"/>
          <w:i w:val="1"/>
          <w:iCs w:val="1"/>
          <w:color w:val="auto"/>
        </w:rPr>
        <w:t>American Banker's</w:t>
      </w:r>
      <w:r>
        <w:rPr>
          <w:rFonts w:ascii="Times New Roman" w:cs="Times New Roman" w:eastAsia="Times New Roman" w:hAnsi="Times New Roman"/>
          <w:sz w:val="18"/>
          <w:szCs w:val="18"/>
          <w:color w:val="auto"/>
        </w:rPr>
        <w:t xml:space="preserve"> 2024 Most Influential Women in Fintech, a Top 50 Women Leaders by </w:t>
      </w:r>
      <w:r>
        <w:rPr>
          <w:rFonts w:ascii="Times New Roman" w:cs="Times New Roman" w:eastAsia="Times New Roman" w:hAnsi="Times New Roman"/>
          <w:sz w:val="18"/>
          <w:szCs w:val="18"/>
          <w:i w:val="1"/>
          <w:iCs w:val="1"/>
          <w:color w:val="auto"/>
        </w:rPr>
        <w:t>Women We Admire</w:t>
      </w:r>
      <w:r>
        <w:rPr>
          <w:rFonts w:ascii="Times New Roman" w:cs="Times New Roman" w:eastAsia="Times New Roman" w:hAnsi="Times New Roman"/>
          <w:sz w:val="18"/>
          <w:szCs w:val="18"/>
          <w:color w:val="auto"/>
        </w:rPr>
        <w:t xml:space="preserve"> in 2022, as one of 2022's Top 25 Women Leaders in Financial Technology by </w:t>
      </w:r>
      <w:r>
        <w:rPr>
          <w:rFonts w:ascii="Times New Roman" w:cs="Times New Roman" w:eastAsia="Times New Roman" w:hAnsi="Times New Roman"/>
          <w:sz w:val="18"/>
          <w:szCs w:val="18"/>
          <w:i w:val="1"/>
          <w:iCs w:val="1"/>
          <w:color w:val="auto"/>
        </w:rPr>
        <w:t>The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Technology Report</w:t>
      </w:r>
      <w:r>
        <w:rPr>
          <w:rFonts w:ascii="Times New Roman" w:cs="Times New Roman" w:eastAsia="Times New Roman" w:hAnsi="Times New Roman"/>
          <w:sz w:val="18"/>
          <w:szCs w:val="18"/>
          <w:color w:val="auto"/>
        </w:rPr>
        <w:t>, honored as a Woman of the Year 2022 by</w:t>
      </w:r>
      <w:r>
        <w:rPr>
          <w:rFonts w:ascii="Times New Roman" w:cs="Times New Roman" w:eastAsia="Times New Roman" w:hAnsi="Times New Roman"/>
          <w:sz w:val="18"/>
          <w:szCs w:val="18"/>
          <w:i w:val="1"/>
          <w:iCs w:val="1"/>
          <w:color w:val="auto"/>
        </w:rPr>
        <w:t xml:space="preserve"> The Stevie Awards' Women in Business </w:t>
      </w:r>
      <w:r>
        <w:rPr>
          <w:rFonts w:ascii="Times New Roman" w:cs="Times New Roman" w:eastAsia="Times New Roman" w:hAnsi="Times New Roman"/>
          <w:sz w:val="18"/>
          <w:szCs w:val="18"/>
          <w:color w:val="auto"/>
        </w:rPr>
        <w:t>and a Top 25 CMO to Watch by</w:t>
      </w:r>
      <w:r>
        <w:rPr>
          <w:rFonts w:ascii="Times New Roman" w:cs="Times New Roman" w:eastAsia="Times New Roman" w:hAnsi="Times New Roman"/>
          <w:sz w:val="18"/>
          <w:szCs w:val="18"/>
          <w:i w:val="1"/>
          <w:iCs w:val="1"/>
          <w:color w:val="auto"/>
        </w:rPr>
        <w:t xml:space="preserve"> Business Insider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2020, and received a 2024 </w:t>
      </w:r>
      <w:r>
        <w:rPr>
          <w:rFonts w:ascii="Times New Roman" w:cs="Times New Roman" w:eastAsia="Times New Roman" w:hAnsi="Times New Roman"/>
          <w:sz w:val="18"/>
          <w:szCs w:val="18"/>
          <w:i w:val="1"/>
          <w:iCs w:val="1"/>
          <w:color w:val="auto"/>
        </w:rPr>
        <w:t>Women in Payments</w:t>
      </w:r>
      <w:r>
        <w:rPr>
          <w:rFonts w:ascii="Times New Roman" w:cs="Times New Roman" w:eastAsia="Times New Roman" w:hAnsi="Times New Roman"/>
          <w:sz w:val="18"/>
          <w:szCs w:val="18"/>
          <w:color w:val="auto"/>
        </w:rPr>
        <w:t xml:space="preserve"> Innovation Award. Ms. Gillin serves on the board of directors of Establishment Labs, a Nasdaq-listed women's biotech company, and has served on the board of The Ad Council, MasterCard UK Forum, the Philadelphia International Council of the Arts, The Please Touch Museum and the Delaware Bankers Association. She holds a degree in international relations and Spanish from the University of Delaware and also attended the University of Salamanca. Ms. Gillin brings a strong background in buy-side media analytics, marketing and financial services to our Board.</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David Kline </w:t>
      </w:r>
      <w:r>
        <w:rPr>
          <w:rFonts w:ascii="Times New Roman" w:cs="Times New Roman" w:eastAsia="Times New Roman" w:hAnsi="Times New Roman"/>
          <w:sz w:val="18"/>
          <w:szCs w:val="18"/>
          <w:color w:val="auto"/>
        </w:rPr>
        <w:t>has served as a director since March 2021. Mr. Kline is Executive Vice President at Charter Communications, a communications and media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President of Spectrum Reach, the advertising sales division of Charter. Mr. Kline joined Charter in 2015 and provides strategic leadership to guide the company in both the traditional and advanced TV advertising space. Mr. Kline joined Charter from Visible World (now FreeWheel), where he served as President and COO directing their household addressable sales and programmatic advertising efforts. Earlier in his career, he served as President and COO of Cablevision Media Sales (now Altice Media Solutions) for more than 17 years. Mr. Kline serves on the board of directors for the Video Advertising Bureau and private companies Ampersand and Blockgraph (where he was appointed Chairman in April 2022). He received a B.A. in a</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personalized study program focusing on marketing, finance, accounting and management from Ohio State University. Mr. Kline is a pioneering leader in the traditional and advanced TV advertising space and brings valuable relationships and perspective to our Board.</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William (Bill) Livek </w:t>
      </w:r>
      <w:r>
        <w:rPr>
          <w:rFonts w:ascii="Times New Roman" w:cs="Times New Roman" w:eastAsia="Times New Roman" w:hAnsi="Times New Roman"/>
          <w:sz w:val="18"/>
          <w:szCs w:val="18"/>
          <w:color w:val="auto"/>
        </w:rPr>
        <w:t>has served as our Vice Chairman since January 2016. Mr. Livek was our Chief Executive Officer from November 2019 to July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our President from January 2016 to May 2018. He previously served as Vice Chairman and Chief Executive Officer of Rentrak Corporation, a media measurement and consumer targeting company, from 2009 until our merger with Rentrak in 2016. Prior to Rentrak, Mr. Livek was founder and Chief Executive Officer of Symmetrical Capital, an investment and consulting firm; Senior Vice President, Strategic Alliances and International Expansion, of Experian Information Solutions, Inc., a provider of information, analytical and marketing services; and co-President of Experian's subsidiary Experian Research Services. Mr. Livek has served on the board of directors of Red Violet, Inc. since January 2024 and the Advertising Research Foundation ("ARF") since July 2022, and prior to that was a member of the ARF board of trustees. He holds a B.S. degree in Communications Radio/Television from Southern Illinois University. Mr. Livek brings substantial industry experience, customer relationships and audience measurement expertise to our Board.</w:t>
      </w:r>
    </w:p>
    <w:p>
      <w:pPr>
        <w:spacing w:after="0" w:line="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Matthew (Matt) McLaughlin </w:t>
      </w:r>
      <w:r>
        <w:rPr>
          <w:rFonts w:ascii="Times New Roman" w:cs="Times New Roman" w:eastAsia="Times New Roman" w:hAnsi="Times New Roman"/>
          <w:sz w:val="18"/>
          <w:szCs w:val="18"/>
          <w:color w:val="auto"/>
        </w:rPr>
        <w:t>has served as a director since June 2024. Mr. McLaughlin is a retired advertising technology executive and Naval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Most recently, he served as Chief Operating Officer of DoubleVerify Holdings, Inc., a software platform for digital media measurement and analytics, from 2011 to March 2022. As COO of DoubleVerify, Mr. McLaughlin directed its product, engineering and sales operations activity, including managing over half the company's employees. He served as a Senior Advisor at DoubleVerify from March 2022 to July 2022. Prior to joining DoubleVerify, Mr. McLaughlin served as President and Chief Operating Officer of CUNet, LLC, an online marketing agency and software subsidiary of Nelnet, Inc., from 2008 to 2011. Earlier in his career, he served as General Manager of Audience and Media at BDMetrics Inc., an information technology company; Vice President of Performance Media at VNC Communications, Inc (d/b/a Performics), a performance marketing subsidiary of DoubleClick Inc.; Senior Vice President of Operations at Heavy Hammer, Inc., a technology company; Director of Business Technology, Search Marketing and Email &amp; Affinity Marketing at Advertising.com, Inc., an online advertising company that was acquired by AOL, Inc.; and an Applications Technology Sales Consultant for Oracle Corporation, a multinational computer technology company. Formerly, Mr. McLaughlin served as a U.S. Navy Submarine Officer from 1992 to 2000. Mr. McLaughlin received a M.A. (Cantab) in Natural Science from the University of Cambridge and B.S. in Computer Science from the United States Naval Academy.</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Jeffrey (Jeff) Murphy </w:t>
      </w:r>
      <w:r>
        <w:rPr>
          <w:rFonts w:ascii="Times New Roman" w:cs="Times New Roman" w:eastAsia="Times New Roman" w:hAnsi="Times New Roman"/>
          <w:sz w:val="18"/>
          <w:szCs w:val="18"/>
          <w:color w:val="auto"/>
        </w:rPr>
        <w:t>has served as a director since April 2024. Mr. Murphy is Senior Vice President, Corporate Finance and Development at Charter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Inc., a communications and media company, where he oversees debt and equity capital markets strategy and execution, treasury, risk management, mergers and acquisitions, and other corporate development. Prior to joining Charter in June 2021, Mr. Murphy spent more than two decades (from 1995 to 2020) with Credit Suisse Group (and predecessor entities), a financial services company, most recently as Vice Chairman of the Investment Banking and Capital Markets division and a Managing Director in the Global Technology, Media and Telecom (TMT) group. Prior to his investment banking career Mr. Murphy worked in consumer markets at MCI Communications. He holds an M.B.A. from Harvard Business School and a B.S. in business administration from Georgetown University. Mr. Murphy brings to our Board substantial capital markets, M&amp;A and corporate development experience.</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Martin (Marty) Patterson </w:t>
      </w:r>
      <w:r>
        <w:rPr>
          <w:rFonts w:ascii="Times New Roman" w:cs="Times New Roman" w:eastAsia="Times New Roman" w:hAnsi="Times New Roman"/>
          <w:sz w:val="18"/>
          <w:szCs w:val="18"/>
          <w:color w:val="auto"/>
        </w:rPr>
        <w:t>has served as a director since March 2021. Mr. Patterson currently serves as Senior Vice President of Liberty Media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Liberty Broadband Corporation, Qurate Retail, Inc. and Liberty TripAdvisor Holdings, Inc. He has been with Liberty Media Corporation, a media, communications and entertainment company, and its predecessors since 2010. Mr. Patterson was formerly a director of Skyhook Wireless, Inc. and Ideiasnet S.A. He received his B.A. from Colorado College and is a CFA Charterholder. Mr. Patterson brings to our Board extensive experience identifying and evaluating investment opportunities in the technology, media and telecommunications sectors.</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Brian Wendling </w:t>
      </w:r>
      <w:r>
        <w:rPr>
          <w:rFonts w:ascii="Times New Roman" w:cs="Times New Roman" w:eastAsia="Times New Roman" w:hAnsi="Times New Roman"/>
          <w:sz w:val="18"/>
          <w:szCs w:val="18"/>
          <w:color w:val="auto"/>
        </w:rPr>
        <w:t>has served as a director since March 2021. Mr. Wendling is Chief Accounting Officer and Principal Financial Officer of Liberty Media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Qurate Retail, Inc., Liberty Broadband Corporation and Atlanta Braves Holdings, Inc. He is also Senior Vice President and Chief Financial Officer of Liberty TripAdvisor Holdings, Inc. Mr. Wendling has held various positions with these companies and their predecessors since 1999. Prior to joining these companies, he worked in the assurance practice of the accounting firm KPMG. Mr. Wendling has previously served on the boards of Fun Technologies Inc. and CommerceHub, Inc. as well as other private companies. He also currently serves on the Indiana University Accounting Advisory Board and has previously served on the Clothes to Kids of Colorado and Rocky Mountain PBS boards. He received his Bachelor of Science degree in accounting from Indiana University. Mr. Wendling brings over 25 years of accounting, public reporting and compliance experience to our Board.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our periodic and current reports along with amendments to such reports available, free of charge, on our website as soon as reasonably practicable after such material is electronically filed with or furnished to the Securities and Exchange Commission ("SEC"). Our website address is www.comscore.com, and such reports are made available free of charge under "SEC Filings" in the Investor Relations section of our website. Information contained on our website is not part of this 10-K and is not incorporated herein by reference.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can read our SEC filings, including this 10-K as well as our other periodic and current reports, on the SEC's website at www.sec.gov.</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3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substantial risk of loss. You should carefully consider the following risk factors, together with all of the other information included in this 10-K, before you decide whether to invest in our stock. The risks identified below could materially and adversely affect our business, financial condition and operating results. In that case, the trading price of our Common Stock could decline, and you could lose part or all of your investment. The risks described below are not the only risks we face. Additional risks and uncertainties not currently known to us or that we currently deem to be immaterial also may materially and adversely affect our business, financial condition and operating results, and may result in the loss of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Our Technologies</w:t>
      </w:r>
    </w:p>
    <w:p>
      <w:pPr>
        <w:spacing w:after="0" w:line="10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could continue to impact demand for our products and increase our costs.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The market for our products is highly competitive, and our revenues could decline if we cannot compete effectively.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If we are unable to provide complete analytics, our ability to maintain and grow our business will be harmed.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We depend on third parties for data and hosting/delivery services that are critical to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If we fail to respond to technological developments or evolving industry standards, our products may become obsolete or less competitive.</w:t>
      </w:r>
    </w:p>
    <w:p>
      <w:pPr>
        <w:spacing w:after="0" w:line="62" w:lineRule="exact"/>
        <w:rPr>
          <w:rFonts w:ascii="Arial" w:cs="Arial" w:eastAsia="Arial" w:hAnsi="Arial"/>
          <w:sz w:val="18"/>
          <w:szCs w:val="18"/>
          <w:color w:val="auto"/>
        </w:rPr>
      </w:pPr>
    </w:p>
    <w:p>
      <w:pPr>
        <w:ind w:left="660" w:hanging="328"/>
        <w:spacing w:after="0" w:line="280" w:lineRule="auto"/>
        <w:tabs>
          <w:tab w:leader="none" w:pos="65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Our business may be harmed if we deliver inaccurate or untimely information products, change our methodologies or the scope of information we collect, or are unable to maintain sufficient panels.</w:t>
      </w:r>
    </w:p>
    <w:p>
      <w:pPr>
        <w:spacing w:after="0" w:line="2" w:lineRule="exact"/>
        <w:rPr>
          <w:rFonts w:ascii="Arial" w:cs="Arial" w:eastAsia="Arial" w:hAnsi="Arial"/>
          <w:sz w:val="18"/>
          <w:szCs w:val="18"/>
          <w:color w:val="auto"/>
        </w:rPr>
      </w:pPr>
    </w:p>
    <w:p>
      <w:pPr>
        <w:ind w:left="660" w:right="20" w:hanging="328"/>
        <w:spacing w:after="0" w:line="280" w:lineRule="auto"/>
        <w:tabs>
          <w:tab w:leader="none" w:pos="65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We derive a significant portion of our revenues from subscription-based products, and our customers could terminate or fail to renew their subscriptions.</w:t>
      </w:r>
    </w:p>
    <w:p>
      <w:pPr>
        <w:spacing w:after="0" w:line="2" w:lineRule="exact"/>
        <w:rPr>
          <w:rFonts w:ascii="Arial" w:cs="Arial" w:eastAsia="Arial" w:hAnsi="Arial"/>
          <w:sz w:val="18"/>
          <w:szCs w:val="18"/>
          <w:color w:val="auto"/>
        </w:rPr>
      </w:pPr>
    </w:p>
    <w:p>
      <w:pPr>
        <w:ind w:left="660" w:right="20" w:hanging="328"/>
        <w:spacing w:after="0" w:line="280" w:lineRule="auto"/>
        <w:tabs>
          <w:tab w:leader="none" w:pos="65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Our financial results may suffer if we are unable to retain or add large customers or if we cannot persuade customers to substitute our products for incumbent providers.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Our acquisitions or partnerships with other companies may not be successful and may divert our management's attention.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System failures, security breaches, delays in system operations, or failure to pass customer or partner security reviews may harm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restructuring activities may not deliver the expected results and could disrupt our business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We may not be able to adequately retain and hire qualified personnel.</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Results of Operations</w:t>
      </w:r>
    </w:p>
    <w:p>
      <w:pPr>
        <w:spacing w:after="0" w:line="10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meet the expectations of securities analysts or investors, which could cause our stock price to decline.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generate sufficient cash to service our debt, dividend obligations, lease facilities and trade payables.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another impairment of goodwill or other intangible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our financing derivatives could adversely affect our financial condition and results.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continue to incur net losses and may not achieve profitability.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operating loss carryforwards may expire unutilized or underutilized.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Legal and Regulatory Compliance, Litigation and Tax Matters</w:t>
      </w:r>
    </w:p>
    <w:p>
      <w:pPr>
        <w:spacing w:after="0" w:line="9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 over data privacy and security, AI and data governance could materially harm our business.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or foreign laws may limit our ability to collect and incorporate media usage information in our products and impose costly requirements on our business.</w:t>
      </w:r>
    </w:p>
    <w:p>
      <w:pPr>
        <w:spacing w:after="0" w:line="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could assert that we are infringing their intellectual property rights, or we could be unable to protect and enforce our own intellectual property rights.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Our use of open source software could limit our ability to sell our products or require us to reengineer our products.</w:t>
      </w:r>
    </w:p>
    <w:p>
      <w:pPr>
        <w:spacing w:after="0" w:line="4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adverse developments in tax laws or disagreements with our tax positions in the jurisdictions where we operate.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International Operations</w:t>
      </w:r>
    </w:p>
    <w:p>
      <w:pPr>
        <w:spacing w:after="0" w:line="10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susceptible to risks associated with international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controls and sanctions laws could impair our ability to compete in international markets and subject us to liability.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currencies could have a significant effect on our operating results.</w:t>
      </w:r>
    </w:p>
    <w:p>
      <w:pPr>
        <w:spacing w:after="0" w:line="9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Our Capital Structure and Financings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The holders of our Preferred Stock have significant influence and rights that may conflict with the interests of our other stockholders.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financing and debt obligations and covenants could restrict our operating flexibility.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Any failure to meet our debt obligations could adversely affect our business and financial condition.</w:t>
      </w:r>
    </w:p>
    <w:p>
      <w:pPr>
        <w:spacing w:after="0" w:line="62"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capital to support our business or meet our debt or dividend obligations, which may not be available on acceptable terms or at all.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Risks Related to Ownership of Our Common Stock</w:t>
      </w:r>
    </w:p>
    <w:p>
      <w:pPr>
        <w:spacing w:after="0" w:line="108" w:lineRule="exact"/>
        <w:rPr>
          <w:sz w:val="20"/>
          <w:szCs w:val="20"/>
          <w:color w:val="auto"/>
        </w:rPr>
      </w:pPr>
    </w:p>
    <w:p>
      <w:pPr>
        <w:ind w:left="660" w:hanging="32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that we may become obligated to issue under existing or future agreements may cause immediate and substantial dilution to our current stockholders.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activist stockholders may disrupt our business and cause fluctuations in our stock price.</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governing documents and under Delaware law might discourage, delay or prevent a change of control or changes in our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Technologies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factors could continue to adversely affect our business and financial results.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depends on the health of the media and advertising industries in which we operate. The strength of the advertising market can fluctuate in response to the economic prospects of specific advertisers or industries, advertisers' spending priorities, and the economy in general. In recent years, macroeconomic factors including inflation, rising interest rates and supply chain disruptions have caused some advertisers to reduce or delay advertising expenditures. These declines, which may continue in future periods, have a direct impact on demand for our products, which measure advertising campaigns and audiences across platforms.</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reductions in advertising spending could result in customers terminating their subscriptions for our products, delaying renewals, or renewing on terms less favorable to us. Furthermore, our newer products, for which we recognize revenue based on impressions used, are subject to higher fluctuations in revenue from changes in our customers' advertising budgets and spending. Macroeconomic factors could also increase our costs, reducing margins and preventing us from meeting our profitability goals. Finally, these factors make it more difficult for us to predict our future revenue and costs, which could result in misallocation of resources or operating inefficiencies that could harm our business. The extent of the impact of macroeconomic factors on our business is uncertain and may continue to adversely affect our operations and financial results.</w:t>
      </w:r>
    </w:p>
    <w:p>
      <w:pPr>
        <w:spacing w:after="0" w:line="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media measurement and analytics products is highly competitive, and if we cannot compete effectively, our revenues could decline and our business could be harmed.</w:t>
      </w:r>
    </w:p>
    <w:p>
      <w:pPr>
        <w:spacing w:after="0" w:line="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market for audience and advertising measurement products is highly competitive and continues to evolve rapidly. We compete primarily with providers of media intelligence and related analytical products and services. We also compete with providers of marketing services and solutions, with full-service survey providers, and with internal solutions developed by customers and potential customers. In recent years, competition has intensified as a result of the entrance of new competitors, the increasing variety and number of media channels and platforms requiring measurement, and the development of new technologies, products and services in our industry to address this media fragmentation. We expect these trends to continue. Some of our competitors have substantially greater resources than we do. As a result, these competitors may be able to devote greater resources to development of systems and technologies, acquisition of data, recruitment and retention of personnel, marketing and promotional campaigns, panel retention and development, and other key areas that can impact our ability to compete effectively. In addition, some of our competitors have adopted and may continue to adopt aggressive pricing policies, including the provision of certain services at little or no cost, in order to retain or acquire customers. Furthermore, large software companies, internet platforms and database management companies may enter our market or enhance their current offerings, either by developing competing services or by acquiring our competitors, and could leverage their significant resources and pre-existing relationships with our current and potential customers. Finally, consolidation of our competitors could make it difficult for us to compete effectively. If we are unable to compete successfully against our current and future competitors, we may not be able to retain and acquire customers, and we may consequently experience a decline in revenues, reduced operating margins, loss of market share and diminished value from our products.</w:t>
      </w:r>
    </w:p>
    <w:p>
      <w:pPr>
        <w:spacing w:after="0" w:line="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provide television, digital or cross-platform analytics, or if our analytics are incomplete, our ability to maintain and grow our business will be harmed.</w:t>
      </w:r>
    </w:p>
    <w:p>
      <w:pPr>
        <w:spacing w:after="0" w:line="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the media and advertising industries increasingly evaluate advertising campaigns across various forms of media, the ability to measure the combined size and composition of audiences across channels and platforms is increasingly important and in demand. If we are unable to gain or maintain access to information measuring a media component or type, or if we are unable to do so on commercially reasonable terms, our ability to meet our customers' demands and our business and financial performance may be harmed. Furthermore, even if we do have access to a particular form of data, if we have insufficient technology or encounter</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challenges in our methodological approaches, our products may be inferior to other offerings, and we may be unable to meet our customers' demands. In such event, our business and financial performance may be harmed.</w:t>
      </w:r>
    </w:p>
    <w:p>
      <w:pPr>
        <w:spacing w:after="0" w:line="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competitors may have more leverage with data providers than we do, which may result in those providers being unwilling to provide us with access to quality data to support our products, on reasonable terms or at all. Likewise, our acquisition of data may be reliant on large digital publishers that may technologically or legally prevent access to their proprietary platforms for research or measurement purposes. Moreover, as mobile devices, technology and CTV viewing continue to proliferate, gaining and maintaining cost-effective access to mobile and CTV data has become increasingly critical, and we could face difficulty in accessing these forms of data on reasonable terms or at all. If we are unable to acquire and integrate data effectively and efficiently, or if the cost of data acquisition or integration continues to increase, our business, financial condition and results of operations will be harmed.</w:t>
      </w:r>
    </w:p>
    <w:p>
      <w:pPr>
        <w:spacing w:after="0" w:line="6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for data and services that are critical to our business, and our business could suffer if we cannot continue to obtain reliable data from these suppliers or if third parties place additional restrictions on our use of such data.</w:t>
      </w:r>
    </w:p>
    <w:p>
      <w:pPr>
        <w:spacing w:after="0" w:line="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third-party data sources for information usage across the media platforms that we measure, as well as demographics about the people that use such platforms. The availability and accuracy of this data is important to the continuation and development of our products and the performance of our obligations to customers. These data suppliers, some of whom compete with us or our significant stockholders, may increase restrictions on our use of such data, undertake audits (at either our or their expense) of our use of such data, require us to implement new processes with respect to such data, fail to adhere to our quality control, privacy or security standards or otherwise satisfactorily perform services, increase the price they charge us for the data or refuse to license the data to us. Additional restrictions on third-party data could limit our ability to include that data in our products, which could lead to decreased commercial opportunities for our products as well as loss of customers, sales credits, refunds or liability to our customers. To comply with any additional restrictions, we may be required to implement certain additional technological and manual controls that could put pressure on our cost structure and could affect our pricing. Supplier consolidation and increased pricing for additional use cases could also put pressure on our cost structure and our ability to meet obligations to our customers. We may be required to enter into vendor relationships, strategic alliances, or joint ventures with some third parties in order to obtain access to the data sources that we need. If our partners do not apply rigorous standards to their data collection methodology and actions, notwithstanding our best efforts, we may receive third-party data that is inaccurate, defective, or delayed. If third-party information is not available to us on commercially reasonable terms, or is found to be inaccurate, it could harm our products, our reputation, and our business and financial performance.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respond to technological developments or evolving industry standards, our products may become obsolete or less competitive.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in industries that require sophisticated data collection and processing technologies. Our future success will depend in large part on our ability to develop new and modify or enhance our existing products and services, including without limitation, our data collection technologies and approaches, in order to meet customer needs, add functionality and address technological advancements and evolving industry standards.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the development of opt-in permissions and enhanced focus on consent-based measurement provide the benefit of limiting the transfer of consumer personal information, but also mean changes to our data collection, storage and delivery processes. In particular, limitations on the use of cookies, pixels and similar technologies (which we collectively refer to as "cookies") may create significant challenges for our products that use these technologies for data collection and measurement. The most common Internet browsers allow users to delete and block cookies through changes to their settings, and some browsers and software providers block cookies by default. We also maintain mechanisms for users to opt out of the collection of their information via cookies and other technologies. Any substantial reduction in the availability, use or effectiveness of cookies - whether due to user opt-outs, browser changes, regulatory action or otherwise - could negatively affect our products that use these technologies.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innovate and adapt our methodologies to address limitations on cookies and other technological challenges, our products may be negatively impacted. For example, we may be unable to report the same types of data or level of granularity as previously available; we may see breaks in historical trends or comparability of data across periods; and we may experience delays or disruptions in service delivery to our customers. If we are unable to address these issues, our products may become less competitive or obsolete.</w:t>
      </w:r>
    </w:p>
    <w:p>
      <w:pPr>
        <w:spacing w:after="0" w:line="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 generally, we will need to develop new products and methodologies to address evolving technologies and standards across the universe of media, including television, online and mobile usage. However, we may be unsuccessful in identifying new product opportunities, developing or marketing new products in a timely or cost-effective manner, or obtaining the necessary access to data or technologies needed to support new products, or we may be limited in our ability to operate due to patents held by others. In addition, our product innovations may not achieve the market penetration or price levels necessary for profitability. If we are unable to develop and integrate timely enhancements to, and new features for, our existing methodologies or products or if we are unable to develop new products and technology that keep pace with rapid technological developments, changing industry standards or consumer preferences, our products may become obsolete, less marketable and less competitive, and our business will be harmed.</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the market for our products is characterized by changes in protocols and evolving industry standards. For example, industry associations such as the Advertising Research Foundation, the Council of American Survey Research Organizations, the Internet Advertising Bureau, the U.S. Joint Industry Committee and the Media Rating Council as well as foreign and international industry associations have undertaken efforts to review market research methodologies across the media that we measure and/or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develop minimum standards, accreditations or certifications for such research. Failure to seek or achieve accreditation or certification, delays in accreditation or certification, or adverse audit findings may negatively impact the market acceptance of our products. Meanwhile, successful accreditation, certification or audits may lead to costly changes to our procedures and methodologies, may divert development resources from other priorities, and may not result in the anticipated commercial benefits.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harmed if we deliver, or are perceived to deliver, inaccurate or untimely information products.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metrics contained in our products may be viewed as an important measure of the success of certain businesses, especially those that utilize our metrics to evaluate priorities ranging from their internal operations to advertising initiatives. If the information that we provide to our customers, the media, or the public is inaccurate, or perceived to be inaccurate, whether due to inadequate methodological approaches, errors, biases towards certain available data sources or partners, disparate data sets across our products, defects or errors in data collection and processing (conducted by us or by third parties) or the systems used to collect, process or deliver data, our business may be harmed. Similarly, if the information that we provide to our customers is delayed or perceived to be untimely, our business may be harmed.</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inaccuracy, perceived inaccuracy, inconsistency or delay in the data reported by us could lead to consequences that could adversely impact our operating results, including loss of customers; sales credits, refunds or liability to our customers; the incurrence of substantial costs to correct any material defect, error or inconsistency; increased warranty and insurance costs; potential litigation; interruptions in the availability of our products; diversion of development resources to improve our processes or delivery; lost or delayed market acceptance and sales of our products; and damage to our brand.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harmed if we change our methodologies or the scope of information we collect.</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 the past and may in the future change our methodologies, the methodologies of companies we acquire, or the scope of information we collect. Such changes may result from identified deficiencies in current methodologies, development of more advanced methodologies, changes in our business plans or in industry standards, changes in law or regulatory requirements, changes in technology used by websites, browsers, mobile applications, servers, or media we measure, integration of acquired companies or expressed or perceived needs of our customers, potential customers or partners. Any such changes or perceived changes, or our inability to accurately or adequately communicate to our customers and the media such changes and the potential implications of such changes on the data we have published or will publish in the future, may result in customer dissatisfaction, particularly if certain information is no longer collected or information collected in future periods is not comparable with information collected in prior periods. As a result of future methodology changes, some of our customers that may also supply us with data may decide not to continue buying products or services from us or may decide to discontinue providing us with their data to support our products. Such customers may elect to publicly air their dissatisfaction with the methodological changes made by us, which may damage our brand and harm our reputation.</w:t>
      </w:r>
    </w:p>
    <w:p>
      <w:pPr>
        <w:spacing w:after="0" w:line="6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panels of sufficient size and scope, or if the costs of establishing and maintaining our panels continue to increase, our business could be harmed.</w:t>
      </w:r>
    </w:p>
    <w:p>
      <w:pPr>
        <w:spacing w:after="0" w:line="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the quality, size and scope of our research panels are important to our business. In recent years, however, panel participation has declined, in part due to changes by software providers that have made it more difficult to obtain consent to participate in panels, steps taken by antivirus providers to remove third-party measurement software despite panelists' previous consent, and operating system updates (including iOS and Android) that limit the ability of third parties to measure device usage. At the same time, the difficulty and cost of recruiting new panelists have increased. Although we have taken (and continue to take) steps to mitigate the impact of these changes on our business, there can be no assurance that we will be able to maintain panels of sufficient size and scope to provide the quality of marketing intelligence that our customers demand from our products. We anticipate that the cost of traditional panel recruitment will continue to increase with the proliferation of proprietary and secure media content delivery platforms, evolving industry practices and regulatory developments, and that the difficulty in collecting these forms of data will continue to grow, which may require significant hardware and software investments, increases to our panel incentive and panel management costs, and evaluation of alternative panel resources. To the extent that any additional expenses are not accompanied by increased revenues, our operating margins may be reduced and our financial results could be adversely affected. If we are unable to maintain panels of sufficient size and scope, whether through traditional recruitment or alternative sources, we could face negative consequences, including degradation in the quality and competitiveness of our products, failure to receive accreditation or certification from industry associations, loss of customers and damage to our brand.</w:t>
      </w:r>
    </w:p>
    <w:p>
      <w:pPr>
        <w:spacing w:after="0" w:line="6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a significant portion of our revenues from sales of our subscription-based products. If our customers terminate or fail to renew their subscriptions, our business could suffer.</w:t>
      </w:r>
    </w:p>
    <w:p>
      <w:pPr>
        <w:spacing w:after="0" w:line="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derive a significant portion of our revenues from our syndicated products, which are typically one-year subscription-based products. This has generally provided us with recurring revenue due to high renewal rates among our enterprise customers; however, syndicated digital revenue from our smaller and international customers has declined in recent years. If additional customers terminate their subscriptions for our products, do not renew their subscriptions, delay renewals of their subscriptions or renew on terms less favorable to us, our revenues could continue to decline and our business could suffer.</w:t>
      </w:r>
    </w:p>
    <w:p>
      <w:pPr>
        <w:spacing w:after="0" w:line="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customers have no obligation to renew after the expiration of their subscription periods, and we cannot be assured that current subscriptions will be renewed at the same or higher dollar amounts, if at all. Furthermore, our newer products, for which revenue 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recognized based on impressions used, are subject to higher fluctuations in revenue. Our customer renewal rates may decline or fluctuate due to a number of factors, including customer satisfaction or dissatisfaction with our products, the costs or functionality of our products, the prices or functionality of products offered by our competitors, the health of the advertising marketplace and the industries in which we operate, mergers and acquisitions affecting our customer base, general economic conditions or reductions in our customers' spending levels.</w:t>
      </w:r>
    </w:p>
    <w:p>
      <w:pPr>
        <w:spacing w:after="0" w:line="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upon our ability to retain existing large customers and add new large customers. To the extent we are not successful in doing so, our ability to grow revenue and attain profitability and positive cash flow may be impaired.</w:t>
      </w:r>
    </w:p>
    <w:p>
      <w:pPr>
        <w:spacing w:after="0" w:line="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sell our products to large customers and on the renewal of subscriptions and contracts with these customers in subsequent years. For the years ended 2024, 2023 and 2022, we derived 34%, 37% and 34%, respectively, of our total revenues from our top 10 customers. Uncertain economic conditions, changes in the political or regulatory environment or other factors, such as the failure or consolidation of large customer companies, internal reorganization or changes in customer buying processes, or dissatisfaction with our products, may cause certain large customers to terminate or reduce their subscriptions and contracts with us or may increase our costs to retain those customers. The loss of any one or more of these customers could decrease our revenues and harm our current and future operating results. The addition of new large customers or increases in sales to existing large customers may require particularly long implementation periods and other significant upfront costs, which may adversely affect our profitability or divert resources from our other priorities. To compete effectively, we have in the past been, and may in the future be, forced to offer significant discounts to maintain existing customers or acquire other large customers. As a result, new large customers or increased usage of our products by large customers may cause our profit margins to decline.</w:t>
      </w:r>
    </w:p>
    <w:p>
      <w:pPr>
        <w:spacing w:after="0" w:line="6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effectively persuade customers to buy our products in substitution for those of an incumbent services provider, our revenue growth may suffer.</w:t>
      </w:r>
    </w:p>
    <w:p>
      <w:pPr>
        <w:spacing w:after="0" w:line="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products require that we persuade prospective customers, or customers of our existing products, to buy our products in substitution for those of an incumbent service provider. In some instances, the customer may have built their systems and processes around the incumbent provider's products. Persuading such customers to switch service providers may be difficult and require longer sales cycles, affecting our ability to increase revenue in these areas. Moreover, the incumbent service provider may have the ability to significantly discount its services or enter into long-term agreements, which could further impede our ability to persuade customers to switch service providers, and accordingly, our ability to increase our revenues.</w:t>
      </w:r>
    </w:p>
    <w:p>
      <w:pPr>
        <w:spacing w:after="0" w:line="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through investments in, acquisitions of, or the development of new products with assistance from, other companies, any of which may not be successful and may divert our management's attention.</w:t>
      </w:r>
    </w:p>
    <w:p>
      <w:pPr>
        <w:spacing w:after="0" w:line="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past, we completed several strategic acquisitions, most recently our acquisition of Shareablee in 2021. We also may evaluate and enter into discussions regarding an array of potential strategic transactions, including acquiring complementary products, technologies or businesses. An acquisition, investment or business relationship may involve significant operating challenges, expenditures and risks. In particular, we may encounter difficulties integrating the businesses, data, technologies, products, personnel or operations of the acquired companies, particularly if the key personnel of the acquired company choose not to be employed by us, and we may have difficulty retaining the customers and partners of any acquired business due to changes in management and ownership. Acquisitions may also disrupt our ongoing business, divert our resources and require significant management attention that would otherwise be available for ongoing development of our business. Moreover, we cannot guarantee that the anticipated benefits of any acquisition, investment or business relationship would be realized timely, if at all, or that we would not be exposed to unknown liabilities. In connection with any such transaction, we may:</w:t>
      </w:r>
    </w:p>
    <w:p>
      <w:pPr>
        <w:spacing w:after="0" w:line="53" w:lineRule="exact"/>
        <w:rPr>
          <w:sz w:val="20"/>
          <w:szCs w:val="20"/>
          <w:color w:val="auto"/>
        </w:rPr>
      </w:pPr>
    </w:p>
    <w:p>
      <w:pPr>
        <w:ind w:left="660" w:right="2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difficulties retaining key employees of the acquired company or integrating diverse business cultures, particularly in countries where we have not previously had employees;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charges or substantial liabilities, including without limitation, liabilities associated with products or technologies accused or found to infringe on third-party intellectual property or contractual rights or violate existing or future privacy or security regulations;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of our capital stock as part of the consideration, which has been and may be dilutive to existing stockholders;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subject to adverse tax consequences, legal disputes, substantial depreciation or deferred compensation charges;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cash that we may otherwise need for ongoing or future operation of our business or dividends;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new geographic markets that subject us to different laws and regulations that may have an adverse impact on our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difficulties effectively utilizing acquired assets or obtaining required third-party consents;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difficulties integrating the information and financial reporting systems of acquired businesses, particularly those that operated under accounting principles other than those generally accepted in the U.S. prior to the acquisition by us;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which may be on terms unfavorable to us or that we are unable to repay.</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also have entered into relationships with certain third-party providers to expand our product offerings, and we may enter into similar arrangements in the future. These relationships and transactions sometimes involve preferred or exclusive licenses, discount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pricing, provision of our products and services without charge, or investments in other businesses to expand our product development and sales capabilities. These transactions may be material to our financial condition and results of operations, and though these transactions may provide additional benefits, they may not be profitable immediately or in the long term. Negotiating any such transactions can be time-consuming, difficult and expensive, and our ability to close these transactions may be subject to regulatory or other approvals and other conditions that are beyond our control. We can make no assurances that any such transactions, investments or relationships will be completed or successful. The impact of any one or more of these factors could materially and adversely affect our business, financial condition or results of operations.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 failures, security breaches or delays in the operation of our computer and communications systems may harm our business.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depends on the efficient and uninterrupted operation of our computer and communications systems and the third-party data centers, cloud providers and SAAS platforms we use. Our ability to collect and report accurate data may be interrupted by a number of factors, including the failure of our network or software systems, computer viruses, security breaches, or variability in the information we ingest.</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experienced, and may in the future experience, system failures and cybersecurity incidents. While prior incidents have not materially affected our business strategy, results of operations or financial condition to date, and although our processes are designed to help prevent, detect and mitigate the impact of such incidents, we cannot guarantee that a future incident will not materially affect our strategy, results of operations or financial condition. Attempted cybersecurity breaches continue to evolve in sophistication and frequency and may be difficult to detect and remediate. A security incident or failure of our network or data gathering procedures, or those of our third-party data suppliers, could result in liability to the Company, impede the processing of data, cause the corruption or loss of data, prevent the timely delivery of our products, give rise to government inquiries or enforcement actions, or damage our customer relationships, brand and reputation.</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future, we may need to expand our network and systems at a more rapid pace than we have in the past. Our network or systems may not be capable of meeting the demand for increased capacity, or we may incur additional expenses to accommodate these capacity demands. In addition, we may lose valuable data or be unable to obtain or provide data on a timely basis or our network may temporarily shut down if we fail to adequately expand or maintain our network capabilities to meet future requirements. Any lapse in our ability to collect or transmit data may decrease the value of our products and prevent us from providing the data requested by our customers and partners. Any disruption in our data processing or any loss, exposure or misuse of data may damage our reputation and result in the loss of customers, partners and vendors and the imposition of penalties or other legal or regulatory action, and our business, financial condition and results of operations could be materially and adversely affected.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customer and partner security reviews, and failure to pass these reviews could have an adverse impact on our operations.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customer and partner contracts require that we maintain certain physical and/or information security standards. Any failure to meet such standards could have an adverse impact on our business. In certain cases, we permit a customer or partner to audit our compliance with contractual standards. Negative findings in an audit and/or the failure to adequately remediate in a timely fashion such negative findings could cause customers or partners to terminate their contracts or otherwise have an adverse effect on our reputation, results of operations and financial condition. Further, customers or partners from time to time may require new or stricter physical or information security than they negotiated in their contracts and may condition continued volumes and business on the satisfaction of such additional requirements. Some of these requirements may be expensive to implement or maintain and may not be factored into our contract pricing. Failure to meet these requirements could have an adverse effect on our business.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small number of third-party service providers to host and deliver our products, and any interruptions or delays in services from these third parties could impair the delivery of our products and harm our business.</w:t>
      </w:r>
    </w:p>
    <w:p>
      <w:pPr>
        <w:spacing w:after="0" w:line="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host some of our products and serve our customers from data center facilities located throughout the U.S. While we operate our equipment inside these facilities, we do not control the operation of these facilities, and, depending on service level requirements and costs, we may not continue to operate or maintain redundant data center facilities for all of our products or for all of our data, which could increase our vulnerability. These facilities are vulnerable to damage or interruption from earthquakes, hurricanes, floods, fires, power loss, telecommunications failures and similar events. They are also subject to break-ins, computer viruses, security breaches, sabotage, intentional acts of vandalism and other misconduct. A natural disaster or an act of terrorism, a decision to close the facilities without adequate notice, or other unanticipated problems could result in lengthy interruptions in availability of our products. We may also encounter capacity limitations and cost increases at our third-party data centers. Additionally, our data center facility agreements are of limited durations, and our data center facilities have no obligation to renew their agreements with us on commercially reasonable terms, if at all. We select our third-party data center providers through a rigorous process based on redundant capability and compliance with industry standards and audits. We believe that we will be able to renew or find alternative providers on commercially reasonable terms, although there can be no guarantee of this. If we are unable to renew our agreements with the owners of the facilities on commercially reasonable terms, or if we migrate to a new provider, we may experience significant cost increases or delays in delivering our products until an agreement with another provider can be arranged or the migration to a new facility is completed.</w:t>
      </w:r>
    </w:p>
    <w:p>
      <w:pPr>
        <w:spacing w:after="0" w:line="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or the third-party data centers that we use were to experience a major power outage, we would have to rely on back-up generators, which may not function properly, and their supply may be inadequate. Such a power outage could result in the disruption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our business. Additionally, if our current facilities fail to have sufficient cooling capacity or availability of electrical power, we would need to find alternative facilities and could experience delays in delivering our products.</w:t>
      </w:r>
    </w:p>
    <w:p>
      <w:pPr>
        <w:spacing w:after="0" w:line="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begun an initiative to transform certain data collection, processing and delivery systems from traditional data centers to cloud-based platforms. The migration of these processes has required, and will continue to require, significant time and resources from our management, technology and operations personnel and has introduced new requirements for security, financial and software development controls. This initiative has diverted and may continue to divert resources from other priorities, which could have a negative impact on our revenue and growth opportunities. If the migration of these processes is not successful, or if the initiative takes longer or requires more resources than we anticipate, our results of operations and financial condition could be adversely affected.</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depend on access to the internet through third-party bandwidth providers to operate our business. If we lose the services of one or more of our bandwidth providers for any reason, we could experience disruption in the delivery of our products or be required to retain the services of a replacement bandwidth provider. It may be difficult for us to replace any lost bandwidth on a timely basis, on commercially reasonable terms, or at all, due to the large amount of bandwidth our operations require.</w:t>
      </w:r>
    </w:p>
    <w:p>
      <w:pPr>
        <w:spacing w:after="0" w:line="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errors, defects, breaches, disruptions or other performance problems related to our products or the delivery of our services caused by third parties could reduce our revenues, harm our reputation, result in the loss of customers, partners and vendors and the imposition of penalties or other legal or regulatory actions and otherwise damage our business. Interruptions in the availability of our products and the delivery of our services may reduce our revenues due to increased turnaround time to complete projects, cause us to issue credits or refunds to customers, cause customers to terminate their agreements or adversely affect our renewal rates. Our business, financial condition and results of operations would be materially and adversely affected if there were errors or delays in delivering our products or services, including for reasons beyond our control, and our reputation would be harmed if our customers or potential customers believe our products and services are unreliable.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restructuring activities and cost reduction initiatives may not deliver the expected results and could disrupt our business operations.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Achieving our long-term revenue and profitability goals depends significantly on our ability to allocate resources in line with our strategic objectives and control our operating costs. As described in </w:t>
      </w:r>
      <w:r>
        <w:rPr>
          <w:rFonts w:ascii="Times New Roman" w:cs="Times New Roman" w:eastAsia="Times New Roman" w:hAnsi="Times New Roman"/>
          <w:sz w:val="18"/>
          <w:szCs w:val="18"/>
          <w:u w:val="single" w:color="auto"/>
          <w:color w:val="0000FF"/>
        </w:rPr>
        <w:t>Footnote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Organizational Restructuring,</w:t>
      </w:r>
      <w:r>
        <w:rPr>
          <w:rFonts w:ascii="Times New Roman" w:cs="Times New Roman" w:eastAsia="Times New Roman" w:hAnsi="Times New Roman"/>
          <w:sz w:val="18"/>
          <w:szCs w:val="18"/>
          <w:color w:val="auto"/>
        </w:rPr>
        <w:t xml:space="preserve"> of the Notes to the Consolidated Financial Statements included in Part II, Item 8 of this 10-K, we communicated a workforce reduction in 2022 as part of our broader efforts to improve cost efficiency and better align our operating structure and resources with strategic priorities. In addition to employee terminations, our restructuring activities have included the reallocation of commercial and product development resources, reinvestment in and modernization of key technology platforms, consolidation of data storage and processing activities to reduce our data center footprint, and reduction of other operating expenses.</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our restructuring activities do not generate the expected cost savings, our business and financial results could be adversely affected. Moreover, some of the organizational and operational changes we have made and are making require careful management to avoid disrupting customer, partner and employee relationships. If we do not successfully manage our restructuring activities, the expected benefits may not be realized, and our operations and business could be disrupted.</w:t>
      </w:r>
    </w:p>
    <w:p>
      <w:pPr>
        <w:spacing w:after="0" w:line="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heavily on our management team and other personnel to operate and grow our business. The loss of one or more key employees, the inability to attract and retain qualified personnel, or the failure to integrate new personnel could harm our business.</w:t>
      </w:r>
    </w:p>
    <w:p>
      <w:pPr>
        <w:spacing w:after="0" w:line="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and future growth depend to a significant degree on the skills and continued services of our management team. Our future success also depends on our ability to retain, attract and motivate highly skilled technical, managerial, sales and marketing personnel. The market for these personnel is extremely competitive, particularly for software engineers, data scientists and other technical staff, and our restructuring activities have put additional pressure on our ability to retain, attract and motivate key personnel. If we cannot retain highly skilled workers and key leaders, our ability to develop and deliver our products and increase our revenues may be materially and adversely affected. If we must increase employee compensation and benefits in order to remain competitive for these personnel, our operating costs and financial condition may be adversely affected. Recruiting and training costs may also place significant demands on our resources. We may experience a loss of productivity due to the departure of key personnel and the associated loss of institutional knowledge, or while new personnel integrate into our business and transition into their respective roles. Failure to ensure effective transitions and knowledge transfers may adversely affect our operations and our ability to execute on our strategic plans and growth initiatives.</w:t>
      </w:r>
    </w:p>
    <w:p>
      <w:pPr>
        <w:spacing w:after="0" w:line="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availability and effectiveness of equity awards as a means to recruit and retain key personnel have diminished, and we may need to request additional shares for our equity plan or grant equity awards outside of our existing plan.</w:t>
      </w:r>
    </w:p>
    <w:p>
      <w:pPr>
        <w:spacing w:after="0" w:line="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we have relied on equity awards as one means of recruiting and retaining key personnel, including our senior management. Due to declines in our stock price in recent years, the effectiveness of equity awards as a means to attract and retain key personnel has diminished, and we have had to shift a larger portion of employee compensation to cash. Moreover, the quantity of equity awards we are able to grant under our 2018 Equity and Incentive Compensation Plan ("2018 Plan") is limited. These limits have further impacted our ability to offer awards to current and prospective employees, which in turn has contributed to employee retention and hiring challenges. In order to address our compensation needs, we may seek an amendment to our 2018 Plan to increase the number of shares available for future equity awards. We also may consider granting equity awards outside of our 2018 Plan, as we did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a 2021 executive hire. Either of these options would result in additional dilution to our existing stockholders. Alternatively, we may need to shift an even larger portion of employee compensation to cash, which could adversely affect our liquidity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Results of Operations</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and results of operations may fluctuate in the future. As a result, we may fail to meet or exceed the expectations of securities analysts or investors, which could cause our stock price to decline.</w:t>
      </w:r>
    </w:p>
    <w:p>
      <w:pPr>
        <w:spacing w:after="0" w:line="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results of operations may fluctuate as a result of a variety of factors, many of which are outside of our control. If our revenues or results of operations do not meet or exceed the expectations of securities analysts or investors, the price of our Common Stock could decline substantially. Factors that may cause fluctuations in our revenues or results of operations include:</w:t>
      </w:r>
    </w:p>
    <w:p>
      <w:pPr>
        <w:spacing w:after="0" w:line="1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customers' buying behaviors, including disintermediation of traditional channels;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of demand for custom projects and usage-based products;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contract renewal rates caused by our customers' budgetary constraints, competition, or customer corporate restructuring or consolidation;</w:t>
      </w:r>
    </w:p>
    <w:p>
      <w:pPr>
        <w:spacing w:after="0" w:line="1" w:lineRule="exact"/>
        <w:rPr>
          <w:rFonts w:ascii="Times New Roman" w:cs="Times New Roman" w:eastAsia="Times New Roman" w:hAnsi="Times New Roman"/>
          <w:sz w:val="18"/>
          <w:szCs w:val="18"/>
          <w:color w:val="auto"/>
        </w:rPr>
      </w:pPr>
    </w:p>
    <w:p>
      <w:pPr>
        <w:ind w:left="660" w:right="14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introductions or changes in methodology, particularly in light of consent requirements, cookie deprecation and other changes in our industry;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Preferred Stock transactions, including our long-term data license with Charter;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decision to discontinue certain products or exit certain geographic regions;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accurately estimate or control costs, including those incurred as a result of technology upgrades, product development initiatives and restructuring activities;</w:t>
      </w:r>
    </w:p>
    <w:p>
      <w:pPr>
        <w:spacing w:after="0" w:line="1" w:lineRule="exact"/>
        <w:rPr>
          <w:rFonts w:ascii="Times New Roman" w:cs="Times New Roman" w:eastAsia="Times New Roman" w:hAnsi="Times New Roman"/>
          <w:sz w:val="18"/>
          <w:szCs w:val="18"/>
          <w:color w:val="auto"/>
        </w:rPr>
      </w:pPr>
    </w:p>
    <w:p>
      <w:pPr>
        <w:ind w:left="660" w:right="12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data from third-party sources and the cost to integrate such data into our systems and products and implement new use cases;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judgments or settlements, or increased legal fees, in legal disputes or government proceedings;</w:t>
      </w:r>
    </w:p>
    <w:p>
      <w:pPr>
        <w:spacing w:after="0" w:line="6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connection with strategic or financing transactions, including financial advisory, legal, accounting, consulting and other advisory fees and expenses;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of our existing debt and incurrence of additional debt;</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capital expenditures and operating costs related to the maintenance, migration and expansion of our operations and infrastructure;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outages, other technical difficulties or security breaches;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appropriate staffing levels and capabilities, particularly during organizational restructuring;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organizational restructuring;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changes to our deferred tax valuation allowance;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currency exchange rates;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regulatory, industry and market conditions and those conditions specific to media and advertising businesses.</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revenues and results of operations on a year-over-year and sequential quarter-over-quarter basis may vary significantly in the future and that period-to-period comparisons of our operating results may not be meaningful. Investors are cautioned not to rely on the results of prior periods as an indication of future performance.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or obtain sufficient cash to service our debt, dividend obligations, lease facilities and trade payables.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have indebtedness and lease facilities, as well as trade payables, including expenses incurred in prior periods. In addition, we are required to pay annual dividends on our Preferred Stock, and we may incur additional debt for operations or to fund a special dividend to the holders of our Preferred Stock. These obligations could require us to use a large portion of our cash flow from operations to service our debt, dividend obligations, and lease facilities and pay accrued expenses. They could also limit our flexibility to invest in our business and adjust to market conditions, which could impact our customer relationships and place us at a competitive disadvantage.</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obtain the funds to pay our expenses and meet our financial obligations from cash flow from our operations, existing debt facilities and, potentially, from other debt or equity offerings and transactions. Accordingly, our ability to meet our obligations depends on our future performance and corporate activities, which will be affected by financial, business, contractual, economic and other factors, some of which are beyond our control. Failure to meet our payment obligations could disrupt our supply of goods and services and impact our reputation, creditworthiness and relations with customers, partners, creditors and holders of our Preferred Stock. It could also lead to costly litigation.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cash flow and capital resources prove inadequate to allow us to satisfy our trade payables, pay the interest and principal on our debt when due, invest in our business and meet our other financial obligations, we could face substantial liquidity challenges and might be required to dispose of material assets or operations, obtain alternative financing (which we may be unable to do on acceptable terms) or forego attractive business opportunities. In addition, the terms of our existing or future financing agreements and Preferred Stock may restrict us from pursuing these alternatives. Failure to meet our financial obligations could have significant consequences including, potentially, forcing us into bankruptcy or liquidation.</w:t>
      </w:r>
    </w:p>
    <w:p>
      <w:pPr>
        <w:spacing w:after="0" w:line="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operations could suffer and be adversely affected if we incur another impairment of goodwill or other intangible assets.</w:t>
      </w:r>
    </w:p>
    <w:p>
      <w:pPr>
        <w:spacing w:after="0" w:line="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required to test goodwill and intangible assets, annually and on an interim basis if an event occurs or there is a change in circumstance that would more likely than not reduce the fair value of our reporting unit below its carrying value or indicate that the carrying value of such intangibles is not recoverable. When the carrying value of a reporting unit exceeds its fair value, a charge to operations, up to the total amount of goodwill, is recorded. If the carrying amount of an intangible asset is not recoverable, a charge to operations is recognized. Either event would result in incremental expense for that period, which would reduce any earnings or increase any loss for the period in which the impairment was determined to have occurred. We recorded impairment charges totaling $64.4 million and $79.7 million in 2024 and 2023, respectively.</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impairment analysis is sensitive to changes in key assumptions used in our analysis, such as expected future cash flows, the degree of volatility in equity and debt markets and our stock price. Additionally, changes in our strategy or significant technical developments could significantly impact the recoverability of our intangible assets. If the assumptions used in our analysis are not realized, it is possible that additional impairment charges may need to be recorded in the future.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fair value of our derivative financial instruments could adversely affect our financial condition and results of operations.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various models and assumptions to determine the fair value of our financing derivatives, including assumptions with respect to term and the probability of occurrence of certain events. Any change in our assumptions could result in a change in the fair value of our derivatives, which would be recorded to earnings and could significantly affect our financial condition and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significant net losses, may incur significant net losses in the future and may not achieve profitability.</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incurred net losses of $60.2 million, $79.4 million and $66.6 million for the years ended December 31, 2024, 2023 and 2022, respectively. We cannot make assurances that we will be able to achieve profitability in the future. As of December 31, 2024, we had an accumulated deficit of $1.5 billion. Because a large portion of our costs are fixed, we may not be able to adequately reduce our expenses in response to any decrease in our revenues, which would adversely affect our operating results. In addition, our operating expenses may increase as we implement certain growth initiatives and restructuring activities, which include, among other things, the development of new products, enhancement of our data assets and infrastructure, and payment of severance and other costs in connection with organizational restructuring. If our revenues do not increase to offset these increases in costs and operating expenses, our operating results would be adversely affected.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net operating loss carryforwards may expire unutilized or underutilized, which could prevent us from offsetting future taxable income.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provisions of Internal Revenue Code Section 382, certain substantial changes in the Company's ownership may result in a limitation on the amount of U.S. net operating loss carryforwards that can be utilized annually to offset future taxable income and taxes payable. We completed a Section 382 study in 2023 and concluded that an ownership change occurred in May 2021 as a result of the Preferred Stock transactions; therefore all of our U.S. net operating loss carryforwards are subject to annual limitations under Section 382.</w:t>
      </w:r>
    </w:p>
    <w:p>
      <w:pPr>
        <w:spacing w:after="0" w:line="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we estimate our U.S. federal and state net operating loss carryforwards for tax purposes to be $539.0 million and $1.5 billion, respectively, subject to limitation as described above. We estimate that $436.2 million of our U.S. federal net operating loss carryforwards and $1.3 billion of our state net operating loss carryforwards are utilizable given the annual limitations under Section 382. Our net operating loss carryforwards begin to expire in 2025 for federal and 2026 for state income tax reporting purposes. The federal and certain state net operating losses generated after December 31, 2017 have an indefinite carryforward period as a result of the enactment of the Tax Cuts and Jobs Act ("TCJA"). As of December 31, 2024, we estimate our aggregate net operating loss carryforwards for tax purposes related to our foreign subsidiaries to be $6.3 million, which begin to expire in 2025.</w:t>
      </w: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apply a valuation allowance to our deferred tax assets when management does not believe that it is more likely than not that they will be realized. In assessing the need for a valuation allowance, we consider all sources of taxable income, including potential opportunities for loss carrybacks, the reversal of existing temporary differences associated with our deferred tax assets and liabilities, tax planning strategies and future taxable income. We also consider other evidence such as historical pre-tax book income in making the determination. As of December 31, 2024, we continue to have a valuation allowance recorded against the net deferred tax assets of our U.S. entities and certain foreign subsidiaries, including net operating loss carryforwards.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Litigation and Tax Matters</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Concern over data privacy and security, AI and data governance could lead to regulatory scrutiny, public relations problems, contractual disputes and lawsuits, which could harm our business.</w:t>
      </w:r>
    </w:p>
    <w:p>
      <w:pPr>
        <w:spacing w:after="0" w:line="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numerous U.S. and foreign laws and regulations and contractual obligations covering a wide variety of data privacy, security and governance topics, and our introduction and maintenance of products, methodologies and technologies will continue to be impacted by regulatory developments and concern in these areas.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recent years, governments around the world and in numerous U.S. states have adopted new laws and regulations focused on data privacy and protection. These laws and regulations apply to the collection, transmission, storage and use of personal information, among other things. The regulatory environment surrounding information security, data privacy and the use of AI in data collection and processing varies from jurisdiction to jurisdiction and is constantly evolving and increasingly demanding. The restrictions imposed by such laws continue to develop and may require us to incur substantial costs and fines or adopt additional disclosure or compliance measures, such as notification requirements and corrective actions. They also have required, and may continue to require, us to change our business practices and modify the products that we offer, which may increase our costs and decrease the quality and functionality of our products.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perception of our practices, products or services as a violation of individual privacy rights may subject us to public criticism, loss of customers, partners or vendors, litigation (including class action lawsuits), reputational harm, or investigations or claims by regulators, industry groups, activist groups or other third parties, all of which could significantly disrupt our business and expose us to increased liability. Additionally, laws regulating privacy and third-party products purporting to address privacy concerns could negatively affect the functionality of, and demand for, our products and services, thereby resulting in loss of customers, partners and vendors and harm to our business.</w:t>
      </w:r>
    </w:p>
    <w:p>
      <w:pPr>
        <w:spacing w:after="0" w:line="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our own data privacy, security and governance policies, we also rely on security questionnaires and contractual representations made to us by customers, partners, vendors and other third-party data providers that their own use of our services and the information they provide to us do not violate any applicable privacy laws, rules and regulations or their own privacy or security policies. As a component of our client contracts, we generally obligate customers to provide their consumers the opportunity to obtain the appropriate level of consent (including opt outs) for the information collection associated with our services, as applicable, or provide another appropriate legal basis for collection. If these questionnaires or representations are false, inaccurate or incomplete, or if our customers, partners, vendors and other third-party data providers do not otherwise comply with applicable privacy laws or security practices, we could face adverse publicity and possible legal or regulatory action.</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Outside parties, including foreign actors, may attempt to fraudulently induce our employees or users of our solutions to disclose sensitive information via illegal electronic spamming, phishing, threats or other tactics. Unauthorized parties may also attempt to gain physical access to our information systems. Any breach of our security measures or the accidental loss, inadvertent disclosure or unauthorized dissemination of proprietary information or sensitive, personal or confidential data about us, our employees or our customers, partners or vendors, including the potential loss or disclosure of such information or data as a result of hacking, fraud, trickery or other forms of deception, could expose us, our employees, our customers or the individuals affected to risks of loss or misuse of this information. Any actual or potential breach of our security measures may result in litigation and potential liability or fines, governmental inquiry or oversight or a loss of customer confidence, any of which could harm our business and damage our brand and reputation, possibly impeding our present and future success in retaining and attracting new customers and thereby requiring time and resources to repair our brand.</w:t>
      </w:r>
    </w:p>
    <w:p>
      <w:pPr>
        <w:spacing w:after="0" w:line="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Domestic or foreign laws, regulations or enforcement actions may limit our ability to collect and incorporate media usage information in our products, which may decrease their value and cause an adverse impact on our business and financial results.</w:t>
      </w:r>
    </w:p>
    <w:p>
      <w:pPr>
        <w:spacing w:after="0" w:line="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could be adversely impacted by existing or future laws, regulations or actions by domestic or foreign regulatory agencies, or by our customers' or partners' efforts to comply with these laws. For example, privacy, data protection and personal information, intellectual property, advertising, data security, data retention and deletion, protection of minors, consumer protection, economic or other trade prohibitions or sanctions concerns have and could continue to lead to legislative, judicial and regulatory limitations on our and our partners' ability to collect, maintain and use information about consumers' behavior and media consumption in the U.S. and abroad, impacting the amount and quality of data in our products and increasing our costs.</w:t>
      </w:r>
    </w:p>
    <w:p>
      <w:pPr>
        <w:spacing w:after="0" w:line="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 and federal laws within the U.S. and foreign laws and regulations are varied, overlapping and at times conflicting, resulting in higher risk related to compliance. A number of laws have come into effect over the past decade, and there are proposals pending before federal, state and foreign legislative and regulatory bodies that have affected and are likely to continue to affect our business. For example, the European Union's ("EU") General Data Protection Regulation, or GDPR, has imposed more stringent EU data protection requirements with greater penalties for noncompliance. In addition, regulators in the EU, the U.S. and elsewhere have increasingly focused on transparency, consent, consumer choice and the collection of data using tracking technologies. In the EU, cross-border data transfers are increasingly scrutinized to ensure compliance, and there have been expanded enforcement efforts in this area. Many U.S. states have also adopted comprehensive privacy laws governing the collection and use of personal information, with more expected in 2025 and beyond. These laws have expanded consumer rights to include individual rights of access, deletion, portability, correction and appeal and the right to "opt in" to collection and use of certain types of personal information deemed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sensitive under the laws. These U.S. federal and state and foreign laws and regulations, which in some cases can be enforced by private parties in addition to government entities, are constantly evolving and impose new and complex requirements on our business.</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Artificial intelligence, or AI, is also the subject of evolving review by various governments and regulatory agencies around the world. New and changing laws and regulations covering the development, use and provision of AI technologies and other digital products and services could impact our ability to use certain methodologies, impose new disclosure or consent requirements, or limit our ability to pursue alternative strategies to build our products. We may also be required to expend resources to adjust and analyze certain product offerings and methodologies as the regulatory environment evolves.</w:t>
      </w:r>
    </w:p>
    <w:p>
      <w:pPr>
        <w:spacing w:after="0" w:line="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implemented policies and procedures to comply with the GDPR, state privacy laws, the Children's Online Privacy Protection Act and other existing laws and regulations, and we continue to evaluate and implement processes and technical enhancements and monitor changes in laws and regulations. However, the application, interpretation, and enforcement of these laws and regulations are often uncertain, particularly in the rapidly evolving industries in which we operate, and may be interpreted and applied inconsistently from country to country, state to state, and customer to customer, and inconsistently with our current policies and practices. Additionally, the costs of compliance with, and the other burdens imposed by, these and other laws, regulatory actions and customer or partner policies may prevent us from selling our products, may require us to alter our products in ways that make them less competitive or compelling to customers, may divert development resources from other priorities, may continue to increase the costs associated with selling our products, and may affect our ability to invest in or jointly develop products in the U.S. and in foreign jurisdictions. In addition, failure to comply with these and other laws and regulations may result in, among other things, government enforcement actions and substantial fines, individual and class action lawsuits, contractual breaches, significant legal fees, and civil and criminal liability. Any regulatory or civil action that is brought against us, even if unsuccessful, may distract our management's attention, divert our resources, negatively affect our public image or reputation among our panelists, customers, partners and vendors, and harm our business.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assertion from a third party that we are infringing its intellectual property rights, whether such assertion is valid or not, could subject us to costly and time-consuming litigation or expensive licenses.</w:t>
      </w:r>
    </w:p>
    <w:p>
      <w:pPr>
        <w:spacing w:after="0" w:line="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media measurement, software and technology industries are characterized by the existence of a large number of patents, copyrights, trademarks and trade secrets and by frequent litigation based on allegations of infringement or other violations of intellectual property rights, domestically or internationally. As we grow, evolve our products and methodologies, and face increasing competition, the probability that one or more third parties will make intellectual property rights claims against us increases. In such cases, our products, technologies or methodologies may be found to infringe on the intellectual property rights of others. Additionally, many of our agreements may require us to indemnify our customers for third-party intellectual property infringement claims, which would increase our costs if we have to defend such claims and may require that we pay damages and provide alternative services if there were an adverse ruling in any such claims. Intellectual property claims could harm our relationships with our customers, deter future customers from buying our products or expose us to litigation, which could be expensive and divert considerable attention of our management team from the normal operation of our business. Even if we are not a party to any litigation between a customer and a third party, an adverse outcome in any such litigation could make it more difficult for us to defend against intellectual property claims by the third party in any subsequent litigation in which we are a named party. Any of these results could adversely affect our brand, business and results of operations.</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any intellectual property rights claim against us or our customers, we may have to pay damages or stop using technology or methodologies found to be in violation of a third party's rights. We may have to seek a license for the technology, which may not be available on reasonable terms or at all, may significantly increase our operating expenses or may significantly restrict our business activities in one or more respects. We may also be required to develop alternative non-infringing technology or methodologies, which could require significant effort and expense. Any of these outcomes could adversely affect our business and results of operations. Even if we prove successful in defending ourselves against such claims, we may incur substantial expenses and the defense of such claims may divert considerable attention of our management team from the normal operation of our business.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in large part on our ability to protect and enforce our intellectual property rights.</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a combination of patent, copyright, service mark, trademark and trade secret laws, as well as confidentiality procedures and contractual restrictions, to establish and protect our proprietary rights, all of which provide only limited protection. We endeavor to enter into agreements with our employees and contractors and with parties with whom we do business in order to limit access to and disclosure of our proprietary information. We cannot be certain that the steps we have taken will prevent unauthorized use of our technology or the reverse engineering of our technology. Moreover, we may not have adequate resources to devote to obtaining new intellectual property protection for our technology and products, defending our existing rights, or maintaining the security of our know-how and data. We cannot make assurances that any additional patents will be issued with respect to any of our pending or future patent applications, nor can we assure that any patent issued to us will provide adequate protection, or that any patents issued to us will not be challenged, invalidated, circumvented, or held to be unenforceable in actions against alleged infringers. Also, we cannot make assurances that any future trademark or service mark registrations will be issued with respect to pending or future applications or that any of our registered trademarks and service marks will be enforceable or provide adequate protection of our proprietary rights. If we are unable to protect our intellectual property rights, or if we must engage in costly and time-consuming litigation to enforce our rights, our results of operations and financial condition could be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limit our ability to sell our products, subject our code to public disclosure or require us to reengineer our products.</w:t>
      </w:r>
    </w:p>
    <w:p>
      <w:pPr>
        <w:spacing w:after="0" w:line="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open source software in certain of our products, and it is also contained in some third-party software that we license. There are many types of open source licenses, some of which have not been interpreted or adjudicated by U.S. or other courts. Our use of open source licenses could limit our ability to sell our products or subject our proprietary code to public disclosure if not properly managed. Remediation of such issues may involve licensing software on costly or unfavorable terms or reengineering our products, either of which could have an adverse effect on our results of operations and financial condition.</w:t>
      </w:r>
    </w:p>
    <w:p>
      <w:pPr>
        <w:spacing w:after="0" w:line="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taxation in multiple jurisdictions. Any adverse development in the tax laws of any of these jurisdictions or any disagreement with our tax positions could have a material and adverse effect on our business, financial condition or results of operations.</w:t>
      </w:r>
    </w:p>
    <w:p>
      <w:pPr>
        <w:spacing w:after="0" w:line="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taxation in, and to the tax laws and regulations of, multiple jurisdictions as a result of the international scope of our operations and our corporate entity structure. We are also subject to transfer pricing laws with respect to our intercompany transactions, including those relating to the flow of funds among our companies. Adverse developments in these laws or regulations, or any change in position regarding the application, administration or interpretation thereof, in any applicable jurisdiction, could have a material and adverse effect on our business, financial condition or results of operations. In addition, the tax authorities in any applicable jurisdiction, including the U.S., may disagree with the positions we have taken or intend to take regarding the tax treatment or characterization of any of our transactions. If any applicable tax authorities, including U.S. tax authorities, were to successfully challenge the tax treatment or characterization of any of our transactions, it could have a material and adverse effect on our business, financial condition or results of operations.</w:t>
      </w:r>
    </w:p>
    <w:p>
      <w:pPr>
        <w:spacing w:after="0" w:line="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certain cases, we have concluded that we do not need to collect sales and use, value added and similar taxes in jurisdictions in which we have sales or operations. Certain jurisdictions in which we do not collect such taxes have asserted, and may in the future assert, that such taxes are applicable, which could result in tax assessments, penalties and interest, and we may be required to collect such taxes in the future. Such tax assessments, penalties and interest or future requirements may adversely affect our financial condition and results of operations.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an example, we recently received an audit assessment from the State of Washington related to potential sales tax liabilities in that state. Refer to </w:t>
      </w:r>
      <w:r>
        <w:rPr>
          <w:rFonts w:ascii="Times New Roman" w:cs="Times New Roman" w:eastAsia="Times New Roman" w:hAnsi="Times New Roman"/>
          <w:sz w:val="18"/>
          <w:szCs w:val="18"/>
          <w:u w:val="single" w:color="auto"/>
          <w:color w:val="0000FF"/>
        </w:rPr>
        <w:t>Footnote 11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color w:val="000000"/>
        </w:rPr>
        <w:t>Commitments and Contingencies,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Notes to Consolidated Financial Statements included in Part II, Item 8 of this 10-K for more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information. Although we are disputing the assessment and believe we have a strong position that our activities are not taxable under applicable law, we may not be successful in having the assessment reversed, which would have an adverse effect on our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International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susceptible to risks associated with international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Conducting international operations subjects us to risks that we generally do not face in the U.S. These risks include:</w:t>
      </w:r>
    </w:p>
    <w:p>
      <w:pPr>
        <w:spacing w:after="0" w:line="10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maintenance of a sufficiently large and representative panel both globally and in certain countries;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expenses associated with tailoring our products to local and international markets as may be required by local customers and joint industry committees or similar industry organizations;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expanding the adoption of our server- or census-based web beacon data collection in certain countries or obtaining access to other necessary data sources;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and expense of complying with a wide variety of foreign laws and regulations, including the GDPR, other privacy, AI and data protection laws and regulations, and foreign anti-corruption laws, as well as the U.S. Foreign Corrupt Practices Act and U.S. sanctions regime;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international operations, including complex and costly hiring, disciplinary, and termination requirements as well as third-party contracting arrangements;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of foreign value-added taxes and the repatriation of earnings;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abroad, terrorist attacks and security concerns;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that have affected and could continue to affect our results of operations;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accounting and reporting burdens and complexities.</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operating in international markets requires significant additional management attention and financial resources. We cannot be certain that the investments and additional resources required to maintain operations in other countries will hold their value or produce desired levels of revenues or profitability. We cannot be certain that we will be able to comply with laws, rules, regulations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local guidelines to maintain or increase the size of the user panels that we currently have in various countries, that we will be able to recruit a representative sample for our audience measurement products or that we will be able to enter into arrangements with a sufficient number of website and mobile app content providers and/or television operators to allow us to collect information for inclusion in our products. In addition, governmental authorities in various countries have different views regarding regulatory oversight of the internet, data protection, AI and consumer privacy. The impact of these risks could negatively affect our international business and, consequently, our financial condition and results of operations.</w:t>
      </w:r>
    </w:p>
    <w:p>
      <w:pPr>
        <w:spacing w:after="0" w:line="4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Export controls and economic and trade sanctions laws could impair our ability to compete in international markets and subject us to liability if we are not in full compliance with applicable laws.</w:t>
      </w:r>
    </w:p>
    <w:p>
      <w:pPr>
        <w:spacing w:after="0" w:line="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activities include the sale of services and collection of data from panelists around the world, and such activities may be subject to various restrictions under U.S. export controls and economic and trade sanctions laws. If we fail to comply with these laws and regulations, we could be subject to civil or criminal penalties and reputational harm.</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take precautions to prevent the collection of data from panelists in embargoed countries and regions that may be subject to export controls and economic and trade sanctions under these laws and regulations, we have collected such data in the past, and there is a risk that we could collect such data in the future despite our precautions. We have implemented a number of screening and other measures designed to prevent transactions with embargoed countries and other U.S. sanctions targets. Changes in the list of embargoed countries and regions or prohibited persons may require us to modify these procedures in order to comply with governmental regulations. Our failure to screen potential panelists, customers, vendors or other third parties properly could result in negative consequences to us, including government investigations, penalties and reputational harm, any of which could materially and adversely affect our business, financial condition or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currencies could have a significant effect on our operating results.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in numerous countries in Latin America, Europe and Asia. A portion of our revenues and expenses from business operations in foreign countries are derived from transactions denominated in currencies other than the functional currency of our operations in those countries. As such, we have exposure to changes in exchange rates associated with revenues and operating expenses of our foreign operations, and these changes have impacted our results in prior periods. We do not currently enter into any hedging instruments that hedge foreign currency exchange rate risk. If we grow our international operations, if we acquire companies with established business in international regions, or if exchange rates become more variable, our exposure to foreign currency risk could become more significant.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 and Financings</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holders of our Preferred Stock have significance influence over the Company, may prevent other stockholders from influencing significant corporate decisions, and may have interests that conflict with those of our other stockholders.</w:t>
      </w:r>
    </w:p>
    <w:p>
      <w:pPr>
        <w:spacing w:after="0" w:line="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2021, we entered into separate Series B Convertible Preferred Stock Purchase Agreements (collectively, the "Securities Purchase Agreements") with each of Charter Communications Holding Company, LLC ("Charter"), Qurate Retail, Inc. ("Qurate") and Pine Investor, LLC ("Pine"). In 2023, Qurate sold its shares of Preferred Stock to Liberty Broadband Corporation ("Liberty") in a private transaction. We collectively refer to Charter, Pine and Qurate/Liberty (as applicable) as the "Investors" in this 10-K.</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issuance of securities pursuant to the Securities Purchase Agreements and related matters were approved by our stockholders and completed in 2021. In connection with these transactions, we also entered into a long-term data license with Charter, which was intended to enhance our ability to execute on our strategic plans and growth initiatives.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2024, we issued additional shares of Preferred Stock to the Investors in exchange for cancellation of our obligation to pay accrued dividends to the Investors for annual dividend periods ended in 2023 and 2024.</w:t>
      </w:r>
    </w:p>
    <w:p>
      <w:pPr>
        <w:spacing w:after="0" w:line="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the Investors were the largest stockholders of the Company, with each Investor's Preferred Stock representing approximately 16.8% of our issued and outstanding Common Stock on an as-converted basis and certain Investors holding (or reporting beneficial ownership of) additional shares of Common Stock beyond their Preferred Stock holdings. This concentration of ownership, together with the voting rights, director designation rights, consent rights and dividend rights described below, has been criticized by certain stockholders, may be perceived negatively by other investors and, as a result, may adversely affect the market price of our Common Stock.</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each Investor's Preferred Stock represented approximately 16.3% of the outstanding voting power of the Company on an as-converted basis. In addition, under our Amended and Restated Stockholders Agreement with the Investors (the "Stockholders Agreement"), each Investor currently has the right to designate two directors to serve on our Board of Directors. Under certain circumstances, an Investor may gain additional designation rights and in some instances, we may even be obligated to increase the size of our Board of Directors to enable an Investor to designate one additional director nominee. As of the date of this 10-K, each Investor has designated two directors on our Board of Directors, which currently consists of 10 directors.</w:t>
      </w:r>
    </w:p>
    <w:p>
      <w:pPr>
        <w:spacing w:after="0" w:line="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Stockholders Agreement, each Investor has consent rights over certain matters. As a result, each Investor is able to influence corporate matters and transactions in a different way than other stockholders.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holders of our Preferred Stock, the Investors are entitled to a cumulative dividend at the rate of 7.5% per annum, payable annually in arrears and subject to increase under certain circumstances. In addition, each Investor is entitled to request, and we are obligated to take all actions reasonably necessary to pay, a one-time special dividend equal to the highest amount that our Board of Directors determines can be paid at the applicable time, subject to additional conditions and limitations set forth in the Stockholders Agreement. As described in the Stockholders Agreement, we may be obligated to obtain debt financing in order to effectuate the special dividend.</w:t>
      </w:r>
    </w:p>
    <w:p>
      <w:pPr>
        <w:spacing w:after="0" w:line="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interests of the Investors may not always coincide with our interests or the interests of our other stockholders, and the rights described above may delay, deter or prevent acts that would be favored by our other stockholders. Also, the Investors may seek to cause us to take courses of action that, in their judgment, could enhance their investment in us, but which might involve risks to our other stockholders or adversely affect us or our other stockholders.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facility may impact our ability to operate our business and secure additional financing in the future, and any failure to meet our debt obligations could adversely affect our business and financial condition.</w:t>
      </w:r>
    </w:p>
    <w:p>
      <w:pPr>
        <w:spacing w:after="0" w:line="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senior secured financing agreement (the "Credit Agreement") with a borrowing capacity of $60.0 million. As of the date of this 10-K, we had outstanding borrowings totaling $45.0 million under the Credit Agreement. Amounts outstanding under the Credit Agreement are made at the Adjusted Term SOFR rate or the Reference Rate (each as defined in the Credit Agreement) and bear interest at a rate per annum equal to (i) the Adjusted Term SOFR rate, subject to a 3.0% floor, plus an applicable margin of 7.0%, or (ii) the Reference Rate, subject to a 4.0% floor, plus an applicable margin of 6.0%. As of December 31, 2024, the applicable interest rate was 11.59039%. In addition, the Credit Agreement provides for an unused commitment fee equal to 1.0% per annum of the unused revolving commitments. The Credit Agreement matures in December 2028.</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outstanding under the Credit Agreement must be prepaid from time to time with the net cash proceeds of certain debt incurrences, equity issuances, asset sales and other dispositions, insurance and condemnation proceeds, tax refunds and other extraordinary receipts. Additionally, we may be required to prepay the loans annually with Excess Cash Flow (as defined in the Credit Agreement) at specified percentages. Certain payments may be subject to prepayment premiums.</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Servicing and repaying our indebtedness under the Credit Agreement could divert resources from other priorities, including investment in our products and operations and satisfaction of other financial obligations. If our cash flow from operations is inadequate to allow us to pay the interest and principal on our debt when due and meet our other financial obligations, we could face substantial liquidity challenges.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Credit Agreement, we are subject to restrictive covenants limiting our ability to, among other things, incur additional indebtedness and liens, make investments and loans, enter into mergers and acquisitions, make or declare dividends and other payments, enter into certain contracts, sell assets, and engage in transactions with affiliates. These covenants could limit our operating flexibility and cause us to forego attractive business opportunities, which could hurt our customer relationships and put us at a competitive disadvantage. The covenants also could prevent us from securing additional financing in the future, including to fund our operations, satisfy liabilities, or pay dividends to the holders of our Preferred Stock. With respect to dividends in particular, the Credit Agreement prohibits the payment of cash dividends to holders of our Preferred Stock prior to April 1, 2026 and imposes certain limitations on cash dividends, including a heightened liquidity requirement, on and after that date.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are subject to financial covenants under the Credit Agreement, including a requirement to maintain a maximum Senior Leverage Ratio and minimum Liquidity (each as defined in the Credit Agreement) during the term of the facility.</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fail to meet our obligations under the Credit Agreement, the lender(s) may accelerate any amounts outstanding under the Credit Agreement and may terminate their commitments to extend further credit. This could have important consequences for our company, including requiring us to restructure or refinance our debt (which we may be unable to do on acceptable terms or at all), dispose of assets or, potentially, enter into liquidation or bankruptcy.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business, and this capital may not be available on acceptable terms or at all.</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including the need to meet our outstanding financial obligations, develop new products or enhance our existing products, enhance our operating infrastructure, retain and hire key personnel, and acquire complementary businesses and technologies. In addition, as described above, the holders of our Preferred Stock have certain dividend rights, including the right to request a special dividend. Accordingly, we may need to engage in equity or debt financings to secure additional funds. If we raise additional funds through further issuances of equity or convertible debt securities, our existing stockholders could suffer significant dilution, and any new securities we issue could have rights, preferences and privileges superior to those of holders of our Common Stock. Any financing secured by us in the future could include restrictive covenants relating to our capital raising activities and other financial and operational matters, which may make it more difficult for us to obtain additional capital and to pursue business opportunities, including potential acquisitions. We also may be required to repay amounts outstanding under our existing Credit Agreement, together with applicable prepayment premiums, with the proceeds of future financings. Repaying our existing debt obligations and servicing future debt obligations could limit our flexibility to invest in the business and adjust to market conditions, which could impact our customer relationships and place us at a competitive disadvantage.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 and credit market conditions, adverse events affecting our business or industry, the tightening of lending standards, rising interest rates, negative actions by regulatory authorities or rating agencies, or other factors also could negatively impact our ability to obtain future financing on terms acceptable to us or at all. If we are unable to obtain adequate financing or financing on terms satisfactory to us when we require it, our ability to support our business growth, meet our dividend payment obligations, and respond to business challenges could be significantly limited. In addition, the terms of any additional equity or debt issuances may adversely affect the value and price of our Common Stock, our results of operations, financial condition and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 Related to Ownership of Our Common Stock</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outstanding securities and dividend obligations, the stock or securities that we may issue under existing or future agreements, and certain provisions of those securities, may cause immediate and substantial dilution to our existing stockholders.</w:t>
      </w:r>
    </w:p>
    <w:p>
      <w:pPr>
        <w:spacing w:after="0" w:line="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existing stockholders have experienced and may continue to experience substantial dilution as a result of our obligations to issue shares of Common Stock. As of December 31, 2024, our Preferred Stock was convertible into an aggregate of 4,970,514 shares of Common Stock at the election of the holders. In addition, holders of Preferred Stock are entitled to a cumulative annual dividend at a rate of 7.5% per annum. The Certificate of Designations of our Preferred Stock permits payment of annual dividends in the form of cash, shares of Common Stock, additional shares of Preferred Stock (which would be convertible into shares of Common Stock) or a combination thereof, subject to conditions set forth in the Certificate of Designations. As described above, however, our Credit Facility prohibits the payment of cash dividends on the Preferred Stock prior to April 1, 2026 and imposes certain limitations on cash dividends on and after that date. These restrictions make it more likely that we may become obligated to pay annual dividends on the Preferred Stock in the form of securities.</w:t>
      </w:r>
    </w:p>
    <w:p>
      <w:pPr>
        <w:spacing w:after="0" w:line="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99,469 shares of Common Stock were reserved for issuance pursuant to outstanding stock options under our equity incentive plans (including stock option awards we assumed in the Shareablee acquisition), 381,631 shares of Common Stock were reserved for issuance pursuant to outstanding restricted stock unit and deferred stock unit awards under our equity incentive plans and arrangements (including Shareablee plan awards and an employment inducement award we granted in 2021), and 837,438 shares of Common Stock were available for future equity awards under our 2018 Equity and Incentive Compensation Plan.</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issuance of shares of Common Stock (i) upon the conversion of or payment of dividends on our Preferred Stock, (ii) pursuant to outstanding and future equity awards, or (iii) upon the conversion of other existing or future convertible securities, may result in substantial dilution to each of our stockholders by reducing that stockholder's percentage ownership of our outstanding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Actions of activist stockholders may disrupt our business and cause fluctuations in our stock price.</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been and may in the future be subject to legal and business challenges in the operation of our Company due to actions instituted by activist stockholders, such as stockholder proposals, media campaigns and proxy contests. Responding to proxy contests and other actions by activist stockholders, including related litigation, can be costly and time-consuming, disrupt our operations and divert the attention of our Board of Directors and senior management from the pursuit of business strategies, which could adversely affect our results of operations and financial condition. Additionally, perceived uncertainties as to our future direction or potential changes to the composition of our Board of Directors as a result of stockholder activism may lead to the perception of an adverse change in the direction of our business, loss of potential business opportunities, instability or lack of management or oversight continuity. These uncertainties may be more acute or heightened if an activist stockholder seeks to change a majority of the Board of Directors or ultimately desires to acquire the Company. Actions by activist stockholders may be exploited by our competitors, cause concern to our current or potential customers and vendors, be interpreted as an increase in risk associated with current or future financing, make it more difficult to attract and retain qualified personnel and create adverse uncertainty for our employees. In addition, actions of activist stockholders may cause significant fluctuations in our stock price based on temporary or speculative market perceptions or other factors that do not necessarily reflect the underlying fundamentals and prospects of our business.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bylaws and under Delaware law might discourage, delay or prevent a change of control of our company or changes in our management and, therefore, depress the trading price of our Common Stock.</w:t>
      </w:r>
    </w:p>
    <w:p>
      <w:pPr>
        <w:spacing w:after="0" w:line="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depress the trading price of our Common Stock by acting to discourage, delay or prevent a change of control of our company or changes in our management that the stockholders of our company may deem advantageous. These provisions:</w:t>
      </w:r>
    </w:p>
    <w:p>
      <w:pPr>
        <w:spacing w:after="0" w:line="4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 so that not all members of our Board are elected at one time;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that our Board could issue to increase the number of outstanding shares to discourage a takeover attempt;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means that all stockholder actions must be taken at a meeting of our stockholders;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a special meeting of our stockholders;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is expressly authorized to make, alter or repeal our bylaws;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95" w:lineRule="exact"/>
        <w:rPr>
          <w:sz w:val="20"/>
          <w:szCs w:val="20"/>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advance notice requirements for nominations for elections to our Board or for proposing matters that can be acted upon by stockholders at stockholder meetings.</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are subject to Section 203 of the Delaware General Corporation Law, which prohibits a Delaware corporation from engaging in any of a broad range of business combinations with any "interested" stockholder for a period of three years following the date on which the stockholder became an "interested" stockholder and which may discourage, delay or prevent a change of control of our company.</w:t>
      </w:r>
    </w:p>
    <w:p>
      <w:pPr>
        <w:spacing w:after="0" w:line="212"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3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a comprehensive cybersecurity program and process for identifying, assessing and managing risks from cybersecurity threats as part of our broader risk management system. Our cybersecurity program is run by a dedicated team of cybersecurity professionals with deep expertise in incident prevention, detection and remediation, led by our Vice President, Information Security (a certified information systems security professional with a degree in computer science and more than 30 years of relevant work experience) and our Chief Operating Officer (a seasoned executive with a degree in industrial systems and decades of product and technology experience, including more than 19 years with the Company). The Information Security team is responsible for identifying, assessing and mitigating cybersecurity vulnerabilities, threats and risks; evaluating and deploying appropriate security tools; and operating a 24x7 security operations center to promptly detect, remediate and prevent security incidents. The team maintains a comprehensive incident response policy that includes prompt reporting of security incidents to a cross-functional working group (including our Chief Operating Officer, General Counsel, Chief Compliance Officer and other security and privacy personnel) in order to ensure that information required to be disclosed by the Company with respect to security incidents is timely identified and reported.</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aligned our information security management system to the International Organization for Standardization ("ISO") 27001 standard and our privacy management system to the ISO 27701 standard. An outside auditor tests the effectiveness of our security and privacy controls against the ISO 27001 and 27701 standards on an annual basis. We also undergo client security audits and cybersecurity program assessments by outside consultants, and we regularly update our program and processes to incorporate recommendations from auditors, consultants and other experts. Finally, we maintain a third-party risk management process that includes screening and evaluation by the Information Security team of service providers who will have access to our systems or confidential information, in order to identify and manage cybersecurity risks associated with our use of such providers.</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has an active role, as a whole and at the committee level, in overseeing management of our material risks from cybersecurity threats. The Board's Audit Committee oversees management of financial, regulatory, compliance and security risks and receives reports at least quarterly from our Chief Operating Officer regarding our cybersecurity programs, vulnerabilities, threats and risks. The full Board is regularly informed about such risks through committee reports, attendance at committee meetings and other communications.</w:t>
      </w:r>
    </w:p>
    <w:p>
      <w:pPr>
        <w:spacing w:after="0" w:line="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executive leadership team is responsible for designing and implementing our enterprise risk management program, with input from our Chief Product Officer, Chief Operating Officer, General Counsel and other security and privacy personnel regarding material risks from cybersecurity threats. The executive leadership team regularly discusses security threat trends; incident trends, including any significant incidents that may arise; risk mitigation; and overall security strategy as part of our enterprise security governance process. We consult with outside counsel as appropriate, including on materiality analyses and disclosure matters, and our senior management makes the final materiality determinations and disclosure and other compliance decisions. Our management apprises our independent public accounting firm of any relevant developments.</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experienced, and may in the future experience, cybersecurity incidents. While prior incidents have not materially affected our business strategy, results of operations or financial condition to date, and although our processes are designed to help prevent, detect and mitigate the impact of such incidents, we cannot guarantee that a future security incident would not materially affect our strategy, results of operations or financial condition. For more information on our cybersecurity related risks, see </w:t>
      </w:r>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color w:val="auto"/>
        </w:rPr>
        <w:t>, "Risk Factors" of this 10-K.</w:t>
      </w:r>
    </w:p>
    <w:p>
      <w:pPr>
        <w:spacing w:after="0" w:line="243"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3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in leased office space in Reston, Virginia. Our other principal locations include leased office space in New York, New York and Portland, Oregon. We also lease space in various locations throughout North America, South America, Europe, and Asia Pacific for sales and other personnel. If we require additional space, we believe that we would be able to obtain such space on commercially reasonable terms.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2024, we leased facilities in 16 locations worldwide, including subleased space in three properties. Currently, however, most of our employees are operating under remote or hybrid working arrangements.</w:t>
      </w:r>
    </w:p>
    <w:p>
      <w:pPr>
        <w:spacing w:after="0" w:line="2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regarding our obligations under operating and finance leases, refer to </w:t>
      </w:r>
      <w:r>
        <w:rPr>
          <w:rFonts w:ascii="Times New Roman" w:cs="Times New Roman" w:eastAsia="Times New Roman" w:hAnsi="Times New Roman"/>
          <w:sz w:val="18"/>
          <w:szCs w:val="18"/>
          <w:u w:val="single" w:color="auto"/>
          <w:color w:val="0000FF"/>
        </w:rPr>
        <w:t>Footnote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of the Notes to Consolidated Financial Statements.</w:t>
      </w:r>
    </w:p>
    <w:p>
      <w:pPr>
        <w:spacing w:after="0" w:line="224"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32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Footnote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the Notes to Consolidated Financial Statements included in Part II,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auto"/>
        </w:rPr>
        <w:t xml:space="preserve"> of this 10-K, which is incorporated herein by reference.</w:t>
      </w:r>
    </w:p>
    <w:p>
      <w:pPr>
        <w:spacing w:after="0" w:line="237"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93" w:lineRule="exact"/>
        <w:rPr>
          <w:sz w:val="20"/>
          <w:szCs w:val="20"/>
          <w:color w:val="auto"/>
        </w:rPr>
      </w:pPr>
    </w:p>
    <w:p>
      <w:pPr>
        <w:ind w:left="1180" w:right="320" w:hanging="1160"/>
        <w:spacing w:after="0" w:line="239" w:lineRule="auto"/>
        <w:tabs>
          <w:tab w:leader="none" w:pos="11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"SCOR".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26, 2025, there were 109 stockholders of record of our Common Stock, although we believe that there are a significantly larger number of beneficial owners of our Common Stock. We derived the number of stockholders by reviewing the listing of outstanding Common Stock recorded by our transfer agent as of February 26,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information relating to our equity compensation plans required by Item 5 is incorporated by reference to such information as set forth in Part III, </w:t>
      </w:r>
      <w:r>
        <w:rPr>
          <w:rFonts w:ascii="Times New Roman" w:cs="Times New Roman" w:eastAsia="Times New Roman" w:hAnsi="Times New Roman"/>
          <w:sz w:val="18"/>
          <w:szCs w:val="18"/>
          <w:u w:val="single" w:color="auto"/>
          <w:color w:val="0000FF"/>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12</w:t>
      </w:r>
      <w:r>
        <w:rPr>
          <w:rFonts w:ascii="Times New Roman" w:cs="Times New Roman" w:eastAsia="Times New Roman" w:hAnsi="Times New Roman"/>
          <w:sz w:val="18"/>
          <w:szCs w:val="18"/>
          <w:color w:val="000000"/>
        </w:rPr>
        <w:t>, "Security Ownership of Certain Beneficial Owners and Management and Related Stockholder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24, 2024, we issued 13.3 million shares of Preferred Stock to the existing holders of Preferred Stock in exchange for cancellation of our obligation to pay accrued dividends totaling $32.8 million to such holders for annual dividend periods ended in 2023 and 2024. The shares of Preferred Stock and Common Stock issuable upon conversion of the Preferred Stock that were, or will be, issued as part of or following this issuance, as applicable, were, or will be, issued without registration under the Securities Act of 1933, as amended (the "Securities Act"), in reliance on the exemption from registration provided by Section 4(a)(2) of the Securities Act. Additional information required by Item 701 of Regulation S-K was previously included in our Current Report on Form 8-K filed on July 25,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02"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[RESERVED]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in conjunction with our Consolidated Financial Statements and the related Notes to Consolidated Financial Statements included in Part II, </w:t>
      </w:r>
      <w:r>
        <w:rPr>
          <w:rFonts w:ascii="Times New Roman" w:cs="Times New Roman" w:eastAsia="Times New Roman" w:hAnsi="Times New Roman"/>
          <w:sz w:val="18"/>
          <w:szCs w:val="18"/>
          <w:i w:val="1"/>
          <w:iCs w:val="1"/>
          <w:u w:val="single" w:color="auto"/>
          <w:color w:val="0000FF"/>
        </w:rPr>
        <w:t>Item 8</w:t>
      </w:r>
      <w:r>
        <w:rPr>
          <w:rFonts w:ascii="Times New Roman" w:cs="Times New Roman" w:eastAsia="Times New Roman" w:hAnsi="Times New Roman"/>
          <w:sz w:val="18"/>
          <w:szCs w:val="18"/>
          <w:i w:val="1"/>
          <w:iCs w:val="1"/>
          <w:color w:val="auto"/>
        </w:rPr>
        <w:t xml:space="preserve"> of this Annual Report on Form 10-K, or 10-K. In addition to historical financial information, the following discussion and analysis contains forward-looking statements that involve risks, uncertainties and assumptions. Our actual results and timing of selected events in future periods may differ materially from those anticipated or implied in these forward-looking statements as a result of many factors, including those discussed under </w:t>
      </w:r>
      <w:r>
        <w:rPr>
          <w:rFonts w:ascii="Times New Roman" w:cs="Times New Roman" w:eastAsia="Times New Roman" w:hAnsi="Times New Roman"/>
          <w:sz w:val="18"/>
          <w:szCs w:val="18"/>
          <w:i w:val="1"/>
          <w:iCs w:val="1"/>
          <w:u w:val="single" w:color="auto"/>
          <w:color w:val="0000FF"/>
        </w:rPr>
        <w:t>Item 1A</w:t>
      </w:r>
      <w:r>
        <w:rPr>
          <w:rFonts w:ascii="Times New Roman" w:cs="Times New Roman" w:eastAsia="Times New Roman" w:hAnsi="Times New Roman"/>
          <w:sz w:val="18"/>
          <w:szCs w:val="18"/>
          <w:i w:val="1"/>
          <w:iCs w:val="1"/>
          <w:color w:val="auto"/>
        </w:rPr>
        <w:t>, "Risk Factors," and elsewhere in this 10-K. See also "</w:t>
      </w:r>
      <w:r>
        <w:rPr>
          <w:rFonts w:ascii="Times New Roman" w:cs="Times New Roman" w:eastAsia="Times New Roman" w:hAnsi="Times New Roman"/>
          <w:sz w:val="18"/>
          <w:szCs w:val="18"/>
          <w:i w:val="1"/>
          <w:iCs w:val="1"/>
          <w:u w:val="single" w:color="auto"/>
          <w:color w:val="0000FF"/>
        </w:rPr>
        <w:t>Cautionary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FF"/>
        </w:rPr>
        <w:t>Note Regarding Forward-Looking Statements</w:t>
      </w:r>
      <w:r>
        <w:rPr>
          <w:rFonts w:ascii="Times New Roman" w:cs="Times New Roman" w:eastAsia="Times New Roman" w:hAnsi="Times New Roman"/>
          <w:sz w:val="18"/>
          <w:szCs w:val="18"/>
          <w:i w:val="1"/>
          <w:iCs w:val="1"/>
          <w:color w:val="000000"/>
        </w:rPr>
        <w:t>" at the beginning of this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global information and analytics company that measures advertising, content, and the consumer audiences of each, across media platforms. We create our products using a global data platform that combines information on digital platforms (connected televisions, mobile devices, tablets and computers), televisions, direct to consumer applications and movie screens with demographics and other descriptive information. We have developed proprietary data science that enables measurement of person-level and household-level audiences, removing duplicated viewing across devices and over time. This combination of data and methods enables a common standard for buyers and sellers to transact on advertising. This helps companies across the media ecosystem better understand and monetize their audiences and develop marketing plans and products to more efficiently and effectively reach those audiences. Our ability to unify behavioral and other descriptive data enables us to provide audience ratings, advertising verification, and granular consumer segments that describe hundreds of millions of consumers. Our customers include digital publishers, television networks, movie studios, content owners, brand advertisers, agencies and technology providers.</w:t>
      </w:r>
    </w:p>
    <w:p>
      <w:pPr>
        <w:spacing w:after="0" w:line="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platforms we measure include televisions, mobile devices, computers, tablets, CTV devices and movie theaters. The information we analyze crosses geographies, types of content and activities, including websites, mobile and over-the-top applications, video games, television and movie programming, e-commerce and advertising.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Consolidated Statements of Operations and Comprehensive Loss data as a percentage of revenues for each of the periods indicated. Percentages may not add due to rounding.</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4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4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Borders>
              <w:bottom w:val="single" w:sz="8" w:color="auto"/>
            </w:tcBorders>
          </w:tcPr>
          <w:p>
            <w:pPr>
              <w:spacing w:after="0"/>
              <w:rPr>
                <w:sz w:val="16"/>
                <w:szCs w:val="16"/>
                <w:color w:val="auto"/>
              </w:rPr>
            </w:pPr>
          </w:p>
        </w:tc>
      </w:tr>
      <w:tr>
        <w:trPr>
          <w:trHeight w:val="196"/>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7"/>
                <w:szCs w:val="17"/>
                <w:color w:val="auto"/>
              </w:rPr>
            </w:pPr>
          </w:p>
        </w:tc>
        <w:tc>
          <w:tcPr>
            <w:tcW w:w="11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 of Revenue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 of Revenue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 of Revenue</w:t>
            </w:r>
          </w:p>
        </w:tc>
      </w:tr>
      <w:tr>
        <w:trPr>
          <w:trHeight w:val="216"/>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356,047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371,343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376,423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205,294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54.5 %</w:t>
            </w: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marketing</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18.2 %</w:t>
            </w: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9.8 %</w:t>
            </w: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16.3 %</w:t>
            </w: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12.3 %</w:t>
            </w: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right-of-use and long-lived assets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07"/>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expenses from operations</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415,556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116.7 %</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444,944</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451,296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119.9 %</w:t>
            </w:r>
          </w:p>
        </w:tc>
      </w:tr>
      <w:tr>
        <w:trPr>
          <w:trHeight w:val="21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1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Gain (loss) from foreign currency transactions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34"/>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(60,248)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(79,361)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(66,561)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products and services are organized around two solution groups:</w:t>
      </w:r>
    </w:p>
    <w:p>
      <w:pPr>
        <w:spacing w:after="0" w:line="77" w:lineRule="exact"/>
        <w:rPr>
          <w:sz w:val="20"/>
          <w:szCs w:val="20"/>
          <w:color w:val="auto"/>
        </w:rPr>
      </w:pPr>
    </w:p>
    <w:p>
      <w:pPr>
        <w:jc w:val="both"/>
        <w:ind w:left="660" w:hanging="328"/>
        <w:spacing w:after="0" w:line="251" w:lineRule="auto"/>
        <w:tabs>
          <w:tab w:leader="none" w:pos="648" w:val="left"/>
        </w:tabs>
        <w:numPr>
          <w:ilvl w:val="0"/>
          <w:numId w:val="26"/>
        </w:numPr>
        <w:rPr>
          <w:rFonts w:ascii="Arial" w:cs="Arial" w:eastAsia="Arial" w:hAnsi="Arial"/>
          <w:sz w:val="20"/>
          <w:szCs w:val="20"/>
          <w:color w:val="auto"/>
        </w:rPr>
      </w:pPr>
      <w:r>
        <w:rPr>
          <w:rFonts w:ascii="Times New Roman" w:cs="Times New Roman" w:eastAsia="Times New Roman" w:hAnsi="Times New Roman"/>
          <w:sz w:val="18"/>
          <w:szCs w:val="18"/>
          <w:color w:val="auto"/>
        </w:rPr>
        <w:t>Content &amp; Ad Measurement represents the measurement portion of our business - measuring audiences across content and advertisements for linear TV, CTV, desktops, laptops, tablets and mobile devices. Product offerings reported in this solution group include our legacy subscription-based syndicated offerings that measure audiences for linear TV (national and local), digital and streaming, as well as theatrical box office receipts. Also included in this solution group are our transaction-based cross-platform products, Proximic by Comscore ("Proximic"), our Activation solution suite, and Comscore Campaign Ratings ("CCR"). These syndicated and cross-platform products are used as currency to plan and execute ad campaigns, measure the outcome of ad campaigns, optimize ad campaigns that are in-flight, activate programmatic campaigns, and make content easier for programmatic advertisers to reach.</w:t>
      </w:r>
    </w:p>
    <w:p>
      <w:pPr>
        <w:spacing w:after="0" w:line="40" w:lineRule="exact"/>
        <w:rPr>
          <w:rFonts w:ascii="Arial" w:cs="Arial" w:eastAsia="Arial" w:hAnsi="Arial"/>
          <w:sz w:val="20"/>
          <w:szCs w:val="20"/>
          <w:color w:val="auto"/>
        </w:rPr>
      </w:pPr>
    </w:p>
    <w:p>
      <w:pPr>
        <w:jc w:val="both"/>
        <w:ind w:left="660" w:hanging="328"/>
        <w:spacing w:after="0" w:line="256"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Research &amp; Insight Solutions represents the custom solutions we provide that are tailored to our clients' specific needs. These offerings include custom TV, digital and cross-platform data feeds, as well as other data integrations. They also include our survey business, our Consumer Brand Health business, and other bespoke research, data and insight deliverables that help our clients better understand their business, competitive landscape, clients and market.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categorize our revenue along these two solution groups; however, our cost structure is tracked at the corporate level and not by our solution groups.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shared costs include employee costs, purchased data, operational overhead, data storage and technology that supports multiple solution groups.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for the years ended December 31, 2024 and 2023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40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Content &amp; Ad Measurement</w:t>
            </w: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Syndicated Audience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260,654</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73.2 %</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276,101</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74.4 %</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Cross-Platform</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40,470</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33,803</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0" w:type="dxa"/>
            <w:vAlign w:val="bottom"/>
          </w:tcPr>
          <w:p>
            <w:pPr>
              <w:spacing w:after="0"/>
              <w:rPr>
                <w:sz w:val="1"/>
                <w:szCs w:val="1"/>
                <w:color w:val="auto"/>
              </w:rPr>
            </w:pPr>
          </w:p>
        </w:tc>
      </w:tr>
      <w:tr>
        <w:trPr>
          <w:trHeight w:val="207"/>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Content &amp; Ad Measurement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301,124</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309,904</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Research &amp; Insight Solutions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54,923</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61,439</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2"/>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356,047</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371,343</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 decreased by $15.3 million, or 4.1%, for the year ended December 31, 2024 as compared to 2023.</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Content &amp; Ad Measurement revenue decreased due to lower revenue from our Syndicated Audience offerings, primarily related to lower renewals of our national TV and syndicated digital products, as well as lower variable cloud computing and processing reimbursements for certain custom TV data set deliveries. This decrease was partially offset by an increase in Cross-Platform revenue driven by increased usage of our Proximic products.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&amp; Insight Solutions revenue decreased primarily due to lower deliveries of certain custom digital products.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for the years ended December 31, 2023 and 2022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40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Content &amp; Ad Measurement</w:t>
            </w: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Syndicated Audience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276,101</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74.4 %</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282,238</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center"/>
              <w:ind w:left="321"/>
              <w:spacing w:after="0"/>
              <w:rPr>
                <w:sz w:val="20"/>
                <w:szCs w:val="20"/>
                <w:color w:val="auto"/>
              </w:rPr>
            </w:pPr>
            <w:r>
              <w:rPr>
                <w:rFonts w:ascii="Times New Roman" w:cs="Times New Roman" w:eastAsia="Times New Roman" w:hAnsi="Times New Roman"/>
                <w:sz w:val="16"/>
                <w:szCs w:val="16"/>
                <w:color w:val="auto"/>
              </w:rPr>
              <w:t>(6,137)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Cross-Platform</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33,803</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25,241</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341"/>
              <w:spacing w:after="0"/>
              <w:rPr>
                <w:sz w:val="20"/>
                <w:szCs w:val="20"/>
                <w:color w:val="auto"/>
              </w:rPr>
            </w:pPr>
            <w:r>
              <w:rPr>
                <w:rFonts w:ascii="Times New Roman" w:cs="Times New Roman" w:eastAsia="Times New Roman" w:hAnsi="Times New Roman"/>
                <w:sz w:val="16"/>
                <w:szCs w:val="16"/>
                <w:color w:val="auto"/>
              </w:rPr>
              <w:t>8,562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33.9 %</w:t>
            </w:r>
          </w:p>
        </w:tc>
        <w:tc>
          <w:tcPr>
            <w:tcW w:w="0" w:type="dxa"/>
            <w:vAlign w:val="bottom"/>
          </w:tcPr>
          <w:p>
            <w:pPr>
              <w:spacing w:after="0"/>
              <w:rPr>
                <w:sz w:val="1"/>
                <w:szCs w:val="1"/>
                <w:color w:val="auto"/>
              </w:rPr>
            </w:pPr>
          </w:p>
        </w:tc>
      </w:tr>
      <w:tr>
        <w:trPr>
          <w:trHeight w:val="207"/>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Content &amp; Ad Measurement</w:t>
            </w:r>
          </w:p>
        </w:tc>
        <w:tc>
          <w:tcPr>
            <w:tcW w:w="24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309,904</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307,479</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left="341"/>
              <w:spacing w:after="0"/>
              <w:rPr>
                <w:sz w:val="20"/>
                <w:szCs w:val="20"/>
                <w:color w:val="auto"/>
              </w:rPr>
            </w:pPr>
            <w:r>
              <w:rPr>
                <w:rFonts w:ascii="Times New Roman" w:cs="Times New Roman" w:eastAsia="Times New Roman" w:hAnsi="Times New Roman"/>
                <w:sz w:val="16"/>
                <w:szCs w:val="16"/>
                <w:color w:val="auto"/>
              </w:rPr>
              <w:t>2,425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Research &amp; Insight Solutions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61,439</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68,944</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ind w:left="321"/>
              <w:spacing w:after="0"/>
              <w:rPr>
                <w:sz w:val="20"/>
                <w:szCs w:val="20"/>
                <w:color w:val="auto"/>
              </w:rPr>
            </w:pPr>
            <w:r>
              <w:rPr>
                <w:rFonts w:ascii="Times New Roman" w:cs="Times New Roman" w:eastAsia="Times New Roman" w:hAnsi="Times New Roman"/>
                <w:sz w:val="16"/>
                <w:szCs w:val="16"/>
                <w:color w:val="auto"/>
              </w:rPr>
              <w:t>(7,505)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371,343</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376,423</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6"/>
                <w:szCs w:val="16"/>
                <w:color w:val="auto"/>
              </w:rPr>
              <w:t>(5,080)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 decreased by $5.1 million, or 1.3%, for the year ended December 31, 2023 as compared to 2022.</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Content &amp; Ad Measurement revenue increased due to higher revenue from our Cross-Platform offerings, driven by increased usage of our Proximic and CCR products, along with increases in local TV and movies revenue due to higher renewals and new business. This was offset by a decrease in Syndicated Audience revenue, primarily related to lower renewals of our national TV and syndicated digital products and a one-time custom deliverable in the first quarter of 2022.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&amp; Insight Solutions revenue decreased primarily due to lower deliveries of certain custom digital products.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Revenues by Geographic Location</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outside of the United States was $37.7 million, $35.6 million and $38.6 million for the years ended December 31, 2024, 2023, and 2022, respectively. Non-U.S. revenue increased in 2024 primarily due to an increase in revenue from our Syndicated Audience offerings.</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generate the majority of our revenues from the sale and delivery of our products within the United States. For information with respect to sales by geographic markets, refer to </w:t>
      </w:r>
      <w:r>
        <w:rPr>
          <w:rFonts w:ascii="Times New Roman" w:cs="Times New Roman" w:eastAsia="Times New Roman" w:hAnsi="Times New Roman"/>
          <w:sz w:val="18"/>
          <w:szCs w:val="18"/>
          <w:u w:val="single" w:color="auto"/>
          <w:color w:val="0000FF"/>
        </w:rPr>
        <w:t>Footnote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of the Notes to Consolidated Financial Statements. Our chief operating decision maker (our CEO) does not evaluate the profit or loss from any separate geography.</w:t>
      </w:r>
    </w:p>
    <w:p>
      <w:pPr>
        <w:spacing w:after="0" w:line="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revenues from our U.S. sales will continue to constitute a substantial and increasing portion of our revenues in future periods. We expect our non-U.S. revenues to decline as a percentage of our total revenues as a result of relative growth in our domestic product offerings.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revenues consists primarily of expenses related to producing our products, operating our network infrastructure, and the recruitment, maintenance and support of our consumer panels. These expenses include employee costs for salaries, benefits, stock-based compensation and other related personnel costs of network operations, survey operations, custom analytics and technical support, all of which are expensed as they are incurred. Cost of revenues also includes costs to obtain multichannel video programming distributor ("MVPD") data sets and panel, census-based and other data sets used in our products as well as operational costs associated with our data centers, including depreciation expense associated with computer equipment and internally developed software that supports our panels and systems. Additionally, cost of revenues includes allocated overhead, lease expense and other facilities-related costs and depreciation expense generated by general purpose equipment and software.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 for the years ended December 31, 2024 and 2023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402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Data costs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76,966</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72,420</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Employee costs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39,102</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37,049</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Systems and bandwidth costs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27,914</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36,268</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expense and depreciation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27,014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23,051</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Panel costs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Royalties and resellers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6,506</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58.9 %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Sample and survey costs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6,286</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Professional fees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Technology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4,374</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4,114</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13"/>
        </w:trPr>
        <w:tc>
          <w:tcPr>
            <w:tcW w:w="4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 of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208,708</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205,580</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revenues increased by $3.1 million, or 1.5%, for the year ended December 31, 2024 as compared to 2023. Data costs increased primarily due to higher data licensing costs to expand our data footprint and data rights, as well as a credit of $2.5 million recognized in 2023 under the data licensing agreement with Charter Communications which did not recur in 2024. Lease expense and depreciation increased primarily due to higher depreciation driven by an increase in capitalized internal-use software and finance leases. Royalties and resellers costs increased primarily due to increased sales for products in which we pay royalties. Employee costs increased primarily due to a shift in headcount toward supporting our products. These increases were primarily offset by a decrease in systems and bandwidth costs primarily due to lower cloud computing and processing costs attributable to certain custom TV data set deliveries. Professional fees decreased primarily due to a change in cost allocation to better align costs with the services provided.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 for the years ended December 31, 2023 and 2022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402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Data costs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72,420</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70,707</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Employee costs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37,049</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41,003</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Systems and bandwidth costs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36,268</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34,526</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expense and depreciation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23,051</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21,016</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Panel costs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15,747</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Professional fees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29.9 %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Sample and survey costs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Technology</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Royalties and resellers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3,534</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0" w:type="dxa"/>
            <w:vAlign w:val="bottom"/>
          </w:tcPr>
          <w:p>
            <w:pPr>
              <w:spacing w:after="0"/>
              <w:rPr>
                <w:sz w:val="1"/>
                <w:szCs w:val="1"/>
                <w:color w:val="auto"/>
              </w:rPr>
            </w:pPr>
          </w:p>
        </w:tc>
      </w:tr>
      <w:tr>
        <w:trPr>
          <w:trHeight w:val="213"/>
        </w:trPr>
        <w:tc>
          <w:tcPr>
            <w:tcW w:w="4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 of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205,580</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205,294</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revenues increased by $0.3 million, or 0.1%, for the year ended December 31, 2023 as compared to 2022. Lease expense and depreciation increased due to higher depreciation primarily driven by an increase in capitalized internal-use software costs. Professional fees</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increased primarily due to an increase in consulting services related to our transformation initiatives. Systems and bandwidth costs increased primarily due to cloud computing and processing costs attributable to certain custom TV data set deliveries. Data costs increased primarily due to an amendment to our data licensing agreement with Charter Communications, which resulted in a credit of $4.5 million recognized in 2022 compared to a credit of $2.5 million recognized in 2023. Employee costs decreased primarily due to an increase in employee compensation capitalized in 2023 related to capitalized software projects as we allocated more resources to product development, as well as a decrease in employee headcount related to our restructuring plan. Panel costs decreased primarily due to lower recruitment and support costs for our desktop and mobile panels.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marketing expenses consist primarily of employee costs, including salaries, benefits, commissions, stock-based compensation and other related costs for personnel associated with sales and marketing activities, as well as costs related to online and offline advertising, industry conferences, promotional materials, public relations, other sales and marketing programs and allocated overhead, lease expense and other facilities-related costs, and depreciation expense generated by general purpose equipment and software.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marketing expenses for the years ended December 31, 2024 and 2023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40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Employee costs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44,672</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50,337</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(5,665)</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Technology</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expense and depreciation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Marketing and advertising</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24.6 %</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Professional fees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selling and marketing expenses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57,622</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63,322</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and marketing expenses decreased by $5.7 million, or 9.0%, for the year ended December 31, 2024 as compared to 2023. Employee costs decreased primarily due to a decrease in employee headcount related to our restructuring plan and a decrease in commissions.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marketing expenses for the years ended December 31, 2023 and 2022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40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Employee costs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50,337</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55,416</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(5,079)</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Technology</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3,360</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Professional fees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26.6 %</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expense and depreciation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3,106</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3,849</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Marketing and advertising</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23.1 %</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selling and marketing expenses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63,322</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17.1 %</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68,453</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and marketing expenses decreased by $5.1 million, or 7.5%, for the year ended December 31, 2023 as compared to 2022. Employee costs decreased primarily due to a decrease in employee headcount related to our restructuring plan and a decrease in commissions.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include product development costs, consisting primarily of employee costs including salaries, benefits, stock-based compensation and other related costs for personnel associated with research and development activities, third-party expenses to develop new products and third-party data costs and allocated overhead, lease expense and other facilities-related costs, and depreciation expense related to general purpose equipment and software.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for the years ended December 31, 2024 and 2023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40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Employee costs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24,825</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26,628</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Technology</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Professional fees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278.9 %</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expense and depreciation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33,066</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33,701</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$0.6 million, or 1.9%, for the year ended December 31, 2024 as compared to 2023. Employee costs decreased primarily due to a shift in headcount toward supporting our products. This decrease was offset by an increase in professional fees primarily due to a change in cost allocation to better align costs with the services provided.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for the years ended December 31, 2023 and 2022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40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Employee costs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26,628</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28,955</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Technology</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3,685</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expense and depreciation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Professional fees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33,701</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36,987</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$3.3 million, or 8.9%, for the year ended December 31, 2023 as compared to 2022. Employee costs decreased primarily due to an increase in employee compensation capitalized in 2023 in relation to capitalized software projects as we allocated more resources to product development, as well as a decrease in employee headcount related to our restructuring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 costs including salaries, benefits, stock-based compensation and other related costs, and related expenses for executive management, finance, human capital, legal and other administrative functions, as well as professional fees, overhead, including allocated overhead, lease expense and other facilities-related costs, depreciation expense related to general purpose equipment and software, amortization of cloud-computing implementation costs, changes in the fair value of our contingent consideration liability, Board of Directors compensation and expenses incurred for other general corporate purposes.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for the years ended December 31, 2024 and 2023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40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Employee costs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24,659</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26,770</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Professional fees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12,338</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14,341</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Technology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expense and depreciation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6,025</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5,252</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general and administrative expenses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47,679</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51,192</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$3.5 million, or 6.9%, for the year ended December 31, 2024 as compared to 2023. Employee costs decreased primarily due to a decrease in employee headcount related to our restructuring plan and a decrease in employee bonus expense. Professional fees decreased primarily due to a decrease in corporate insurance costs.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for the years ended December 31, 2023 and 2022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402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Employee costs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26,770</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31,298</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Professional fees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14,341</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15,706</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Technology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expense and depreciation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5,252</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9,149</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0" w:type="dxa"/>
            <w:vAlign w:val="bottom"/>
          </w:tcPr>
          <w:p>
            <w:pPr>
              <w:spacing w:after="0"/>
              <w:rPr>
                <w:sz w:val="1"/>
                <w:szCs w:val="1"/>
                <w:color w:val="auto"/>
              </w:rPr>
            </w:pPr>
          </w:p>
        </w:tc>
      </w:tr>
      <w:tr>
        <w:trPr>
          <w:trHeight w:val="212"/>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general and administrative expenses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51,192</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61,200</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16.3 %</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$10.0 million, or 16.4%, for the year ended December 31, 2023 as compared to 2022. Employee costs decreased primarily due to lower stock-based compensation expense in 2023 and severance expense related to the retirement of our former CEO which was recognized in 2022. Other expense decreased primarily due to change in fair value of the contingent consideration recognized as part of our 2021 Shareablee acquisition. In addition, Other expense decreased due to lower recruiting expense and operating tax expense. Professional fees decreased primarily due to a decrease in audit fees.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consists of charges related to the amortization of intangible assets associated with acquisitions, primarily our 2016 Rentrak merger. Amortization of intangible assets decreased by $2.2 million, or 41.4%, for 2024 as compared to 2023 and by $21.9 million, or</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80.8%, for 2023 as compared to 2022. The decrease in amortization of intangible assets in 2024 and 2023 was primarily due to amortization related to certain customer relationships, methodologies and technology intangibles related to the Rentrak merger reaching the end of their useful lives.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as a result of changes in our stock price, market and equity capitalization, operating results and projections, we performed an interim impairment review of our goodwill in conjunction with our October 1, 2024 annual testing date. Our reporting unit did not pass the goodwill impairment test, and as a result we recorded a $63.0 million non-cash impairment charge in the quarter ended September 30, 2024.</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performed a quantitative impairment test on our annual testing date as of October 1, 2023. Our reporting unit did not pass the goodwill impairment test, and as a result we recorded a $34.1 million non-cash impairment charge in the quarter ended December 31, 2023.</w:t>
      </w:r>
    </w:p>
    <w:p>
      <w:pPr>
        <w:spacing w:after="0" w:line="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second quarter of 2023, we performed an interim impairment review of our goodwill. Our reporting unit did not pass the goodwill impairment test, and as a result we recorded a $44.1 million non-cash impairment charge in the quarter ended June 30, 2023.</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we performed an interim impairment review of our goodwill in conjunction with our October 1, 2022 annual testing date. Our reporting unit did not pass the goodwill impairment test, and as a result we recorded a $46.3 million non-cash impairment charge in the quarter ended September 30, 2022.</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further information refer to </w:t>
      </w:r>
      <w:r>
        <w:rPr>
          <w:rFonts w:ascii="Times New Roman" w:cs="Times New Roman" w:eastAsia="Times New Roman" w:hAnsi="Times New Roman"/>
          <w:sz w:val="18"/>
          <w:szCs w:val="18"/>
          <w:u w:val="single" w:color="auto"/>
          <w:color w:val="0000FF"/>
        </w:rPr>
        <w:t>Footnote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Item 7</w:t>
      </w:r>
      <w:r>
        <w:rPr>
          <w:rFonts w:ascii="Times New Roman" w:cs="Times New Roman" w:eastAsia="Times New Roman" w:hAnsi="Times New Roman"/>
          <w:sz w:val="18"/>
          <w:szCs w:val="18"/>
          <w:i w:val="1"/>
          <w:iCs w:val="1"/>
          <w:color w:val="auto"/>
        </w:rPr>
        <w:t>, Critical Accounting Estimates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Right-of-use and Long-lived Assets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quarter ended September 30, 2024, we recorded an impairment charge of $1.4 million related to certain office space lease right-of-use assets and associated leasehold improvements. The impairment charge was driven by the execution of a sublease for an office space for which expected cash receipts are less than the cash disbursements for the primary lease.</w:t>
      </w:r>
    </w:p>
    <w:p>
      <w:pPr>
        <w:spacing w:after="0" w:line="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quarter ended September 30, 2023, we recorded an impairment charge of $1.5 million related to certain office space lease right-of-use assets and related long-lived assets. The impairment charge was driven by our abandonment of certain leased office spaces prior to the end of the lease terms.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further information refer to </w:t>
      </w:r>
      <w:r>
        <w:rPr>
          <w:rFonts w:ascii="Times New Roman" w:cs="Times New Roman" w:eastAsia="Times New Roman" w:hAnsi="Times New Roman"/>
          <w:sz w:val="18"/>
          <w:szCs w:val="18"/>
          <w:u w:val="single" w:color="auto"/>
          <w:color w:val="0000FF"/>
        </w:rPr>
        <w:t>Footnote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Restructuring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incurred restructuring expenses of $1.0 million, $6.2 million and $5.8 million for the years ended December 31, 2024, 2023 and 2022, respectively, related to the implementation of a restructuring plan that included a workforce reduction communicated in 2022. The 2022 restructuring plan was substantially completed in 2024. For further information refer to </w:t>
      </w:r>
      <w:r>
        <w:rPr>
          <w:rFonts w:ascii="Times New Roman" w:cs="Times New Roman" w:eastAsia="Times New Roman" w:hAnsi="Times New Roman"/>
          <w:sz w:val="18"/>
          <w:szCs w:val="18"/>
          <w:u w:val="single" w:color="auto"/>
          <w:color w:val="0000FF"/>
        </w:rPr>
        <w:t>Footnote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Organizational Restructuring</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net consists of interest income and interest expense. Interest income primarily consists of interest earned from our cash and cash equivalent balances. Interest expense relates to interest on our Prior Credit Agreement and our finance leases.</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Interest expense, net, increased $0.4 million in 2024 to $1.9 million as compared to $1.4 million in 2023. The increase in interest expense for the year ended December 31, 2024 as compared to 2023 was primarily due to a higher interest rate on debt under our Prior Credit Agreement, as described in </w:t>
      </w:r>
      <w:r>
        <w:rPr>
          <w:rFonts w:ascii="Times New Roman" w:cs="Times New Roman" w:eastAsia="Times New Roman" w:hAnsi="Times New Roman"/>
          <w:sz w:val="18"/>
          <w:szCs w:val="18"/>
          <w:u w:val="single" w:color="auto"/>
          <w:color w:val="0000FF"/>
        </w:rPr>
        <w:t>Footnote 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color w:val="000000"/>
        </w:rPr>
        <w:t>Debt.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Interest expense, net, increased $0.5 million in 2023 to $1.4 million as compared to $0.9 million in 2022. The increase in interest expense for the year ended December 31, 2023 as compared to 2022 was primarily due to a higher interest rate on debt under our Prior Credit Agreement, as described in </w:t>
      </w:r>
      <w:r>
        <w:rPr>
          <w:rFonts w:ascii="Times New Roman" w:cs="Times New Roman" w:eastAsia="Times New Roman" w:hAnsi="Times New Roman"/>
          <w:sz w:val="18"/>
          <w:szCs w:val="18"/>
          <w:u w:val="single" w:color="auto"/>
          <w:color w:val="0000FF"/>
        </w:rPr>
        <w:t>Footnote 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color w:val="000000"/>
        </w:rPr>
        <w:t>Debt</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net represents income and expenses incurred that are generally not recurring in nature or are not part of our regular operations. The following is a summary of other income, net: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6"/>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warrants liability</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w w:val="99"/>
              </w:rPr>
              <w:t>669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9,802</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34"/>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net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w w:val="99"/>
              </w:rPr>
              <w:t>651</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9,785</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other income, net for the year ended December 31, 2024 was $0.7 million as compared to total other income, net of $42 thousand in 2023. The increase in other income, net was primarily driven by larger gains from the change in fair value of warrants liability recognized in 2024 compared to 2023, due to a decrease in the trading price of our Common Stock during the first quarter of 2024 and the Series A warrants</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expiring unexercised in the second quarter of 2024, as described in </w:t>
      </w:r>
      <w:r>
        <w:rPr>
          <w:rFonts w:ascii="Times New Roman" w:cs="Times New Roman" w:eastAsia="Times New Roman" w:hAnsi="Times New Roman"/>
          <w:sz w:val="18"/>
          <w:szCs w:val="18"/>
          <w:u w:val="single" w:color="auto"/>
          <w:color w:val="0000FF"/>
        </w:rPr>
        <w:t>Footnote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Redeemable Preferred Stock and Stockholders' Equity (Deficit).</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Total other income, net for the year ended December 31, 2023 was negligible as compared to total other income, net of $9.8 million in 2022. The decrease in other income, net was primarily driven by larger gains from the change in fair value of warrants liability recognized in 2022 compared to 2023, due to a decrease in the trading price of our Common Stock in 2022 and an exercise price adjustment in 2023. For additional information about the change in fair value of warrants liability, refer to </w:t>
      </w:r>
      <w:r>
        <w:rPr>
          <w:rFonts w:ascii="Times New Roman" w:cs="Times New Roman" w:eastAsia="Times New Roman" w:hAnsi="Times New Roman"/>
          <w:sz w:val="18"/>
          <w:szCs w:val="18"/>
          <w:u w:val="single" w:color="auto"/>
          <w:color w:val="0000FF"/>
        </w:rPr>
        <w:t>Footnote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Redeemable Preferred Stock and Stockholders' Equity (Deficit).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From Foreign Currency Transactions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foreign currency transactions are recorded as a result of fluctuations in the exchange rate between the transactional currency and the functional currency of foreign subsidiary transactions. Our foreign currency exposures that relate to the translation to U.S. Dollars are in a net liability position, and our foreign currency exposures that relate to the translation from U.S. Dollars are in a net asset position.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gain from foreign currency transactions was $1.4 million. The gain was primarily driven by fluctuations in the U.S. Dollar against the Chilean Peso, Euro and Canadian Dollar and the Chilean Peso against the Euro.</w:t>
      </w:r>
    </w:p>
    <w:p>
      <w:pPr>
        <w:spacing w:after="0" w:line="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loss from foreign currency transactions was $2.8 million. The loss was primarily driven by fluctuations in the Chilean Peso against the U.S. Dollar and Euro and the U.S. Dollar against the Euro and Argentine Peso.</w:t>
      </w:r>
    </w:p>
    <w:p>
      <w:pPr>
        <w:spacing w:after="0" w:line="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the gain from foreign currency transactions was $1.2 million. The gain was primarily driven by fluctuations in the Euro and Chilean Peso against the U.S. Dollar and the U.S. Dollar against the Canadian Dollar and Argentine Peso.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valuation allowance has been established against our net U.S. federal and state deferred tax assets, and certain foreign deferred tax assets, including net operating loss carryforwards. As a result, our income tax position is primarily related to foreign tax activity and U.S. deferred taxes for tax deductible goodwill and other indefinite-lived liabilities.</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2023, and 2022, we recorded an income tax provision of $0.9 million, $1.5 million, and $1.7 million, resulting in an effective tax rate of 1.6%, 2.0%, and 2.7%, respectively. These effective tax rates differ from the U.S. federal statutory rate primarily due to the effects of certain permanent items, foreign tax rate differences, changes in the valuation allowance against our domestic deferred tax assets and income tax benefit related to the impairment of goodwill.</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Included within tax expense for the year ended December 31, 2024 is an income tax adjustment of $17.2 million related to the impairment of goodwill. Also included in the total tax expense is an income tax benefit of $2.5 million for a decrease in the valuation allowance recorded against our deferred tax assets to offset the tax expense of our operating losses in the U.S. and certain foreign jurisdictions. Income tax expense of $0.9 million has also been included for permanent differences in the book and tax treatment of certain stock-based compensation, local statutory to U.S. GAAP adjustments, and other nondeductible expenses. These tax adjustments, along with state and local taxes, are the primary drivers of the annual effective income tax rate.</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Included within tax expense for the year ended December 31, 2023 is an income tax adjustment of $20.9 million related to the impairment of goodwill. Also included in the total tax expense is an income tax expense of $15.1 million for an increase in the valuation allowance recorded against our deferred tax assets to offset the tax benefit of our operating losses in the U.S. and certain foreign jurisdictions. Income tax expense of $0.7 million has also been included for permanent differences in the book and tax treatment of certain stock-based compensation, executive compensation, and other nondeductible expenses. These tax adjustments, along with state and local taxes, are the primary drivers of the annual effective income tax rate.</w:t>
      </w:r>
    </w:p>
    <w:p>
      <w:pPr>
        <w:spacing w:after="0" w:line="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Included within tax expense for the year ended December 31, 2022 is income tax benefit of $2.6 million for permanent differences in the book and tax treatment of nontaxable gain on fair market value adjustment of stock warrants, offset by certain nondeductible stock-based compensation and executive compensation. Also included in the total tax expense is an income tax adjustment of $12.7 million related to the impairment of goodwill. Income tax expense of $18.5 million has also been included for an increase in the valuation allowance recorded against our deferred tax assets to offset the tax benefit of our operating losses in the U.S. and certain foreign jurisdictions. These tax adjustments, along with state and local taxes and book losses in foreign jurisdictions where the income tax rate is substantially lower than the U.S. federal statutory rate, are the primary drivers of the annual effective income tax rate.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identified: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34,937</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(17,822)</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(18,132)</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uses of cash consist of cash paid for data, payroll and other operating expenses, including expenses incurred in prior periods; payments related to investments in equipment, primarily to support our consumer panels and technical infrastructure required to deliver our products and services and support our customers; service of our debt and lease facilities; and deferred payment obligations with respect to our 2021 acquisition of Shareablee.</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our principal sources of liquidity consisted of cash, cash equivalents and restricted cash totaling $33.5 million, including $3.5 million in restricted cash (primarily related to letters of credit); cash flows from our operations; and amounts available to us under our Credit Agreement, as described below. We had outstanding letters of credit of $3.2 million as of December 31, 2024.</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31, 2024, we entered into a senior secured financing agreement (the "Credit Agreement") with Blue Torch Finance LLC. The Credit Agreement has a term of four years and matures in December 2028. The Credit Agreement provides a borrowing capacity of $60.0 million consisting of a $45.0 million term loan that was fully funded at closing (the "Term Loan") and a $15.0 million revolving credit facility that was unfunded at closing (the "Revolving Facility"). Initial proceeds from the Term Loan were used to resolve our aged accounts payable, cash collateralize our outstanding letters of credit, pay transaction fees and expenses, and strengthen our cash position. As of December 31, 2024, we had no borrowings outstanding under the Revolving Facility, with remaining borrowing capacity of $15.0 million.</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on December 31, 2024, we terminated our prior credit agreement with Bank of America, N.A. (the "Prior Credit Agreement"). As described above, we used a portion of proceeds from the new Credit Agreement to cash collateralize our outstanding letters of credit under the Prior Credit Agreement. We had no other borrowings outstanding under the Prior Credit Agreement on the termination date, and we did not incur any early termination penalties in connection with the termination.</w:t>
      </w:r>
    </w:p>
    <w:p>
      <w:pPr>
        <w:spacing w:after="0" w:line="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24, 2024, we issued 13.3 million additional shares of Preferred Stock to the existing holders of Preferred Stock in exchange for cancellation of our obligation to pay accrued dividends to such holders for dividend periods ended in 2023 and 2024. The additional shares of Preferred Stock have the same terms and conditions as the Preferred Stock previously issued by us, including that they accrue annual dividends at a rate of 7.5% per annum. Under the Credit Agreement, we are prohibited from paying cash dividends to the holders of Preferred Stock prior to April 1, 2026. On and after April 1, 2026, the Credit Agreement imposes certain limitations on cash dividends, including a heightened liquidity requirement.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Macroeconomic Factors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recent years, macroeconomic challenges such as inflation, rising interest rates, capital market disruptions and recession concerns have caused some advertisers to reduce or delay advertising expenditures. These declines have had a direct impact on demand for our products, particularly those that are tied to discretionary advertising spend. We expect that softness in the advertising market will continue to affect our business into 2025. Although we cannot quantify the impact of macroeconomic factors on our future results, any worsening of ad market conditions could negatively impact our financial position and liquidity.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March 10, 2021, we issued 82,527,609 shares of Preferred Stock in exchange for gross cash proceeds of $204.0 million. Net proceeds from the issuance totaled $187.9 million after deducting issuance costs. Shares of Preferred Stock are convertible into Common Stock as described in </w:t>
      </w:r>
      <w:r>
        <w:rPr>
          <w:rFonts w:ascii="Times New Roman" w:cs="Times New Roman" w:eastAsia="Times New Roman" w:hAnsi="Times New Roman"/>
          <w:sz w:val="18"/>
          <w:szCs w:val="18"/>
          <w:u w:val="single" w:color="auto"/>
          <w:color w:val="0000FF"/>
        </w:rPr>
        <w:t>Footnote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Redeemable Preferred Stock and Stockholders' Equity (Deficit).</w:t>
      </w:r>
    </w:p>
    <w:p>
      <w:pPr>
        <w:spacing w:after="0" w:line="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holders of Preferred Stock are entitled to participate in all dividends declared on the Common Stock on an as-converted basis and are also entitled to a cumulative dividend at the rate of 7.5% per annum, payable annually in arrears and subject to increase under certain specified circumstances (including in connection with the dividend waivers described below). In addition, such holders are entitled to request, and we must take all actions reasonably necessary to pay, a one-time special dividend on the Preferred Stock equal to the highest dividend that our Board of Directors determines can be paid at the applicable time (or a lesser amount agreed by the holders), subject to additional conditions and limitations described in </w:t>
      </w:r>
      <w:r>
        <w:rPr>
          <w:rFonts w:ascii="Times New Roman" w:cs="Times New Roman" w:eastAsia="Times New Roman" w:hAnsi="Times New Roman"/>
          <w:sz w:val="18"/>
          <w:szCs w:val="18"/>
          <w:u w:val="single" w:color="auto"/>
          <w:color w:val="0000FF"/>
        </w:rPr>
        <w:t>Footnote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Redeemable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and Stockholders' Equity (Deficit)</w:t>
      </w:r>
      <w:r>
        <w:rPr>
          <w:rFonts w:ascii="Times New Roman" w:cs="Times New Roman" w:eastAsia="Times New Roman" w:hAnsi="Times New Roman"/>
          <w:sz w:val="18"/>
          <w:szCs w:val="18"/>
          <w:color w:val="auto"/>
        </w:rPr>
        <w:t>. We may be obligated to obtain debt financing in order to effectuate the special dividend, which could significantly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our financial position and liquidity depending on the timing and scope of the dividend payment and related financing.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an annual meeting held on June 15, 2023, our stockholders approved proposals permitting the payment of annual dividends on the Preferred Stock in the form of cash, shares of Common Stock, additional shares of Preferred Stock, or a combination thereof, subject to conditions set forth in the Certificate of Designations governing the Preferred Stock. On the same date, each holder of Preferred Stock waived its right to receive on June 30, 2023 the annual dividends otherwise payable by us on that date. Upon receipt of the waivers, our Board elected to defer the June 2023 payment. Under the waivers and the Certificate of Designations, the deferred dividends would accrue and accumulate at a rate of 9.5% per year from June 30, 2023 until declared and paid, with payment to occur on or before December 31, 2023.</w:t>
      </w:r>
    </w:p>
    <w:p>
      <w:pPr>
        <w:spacing w:after="0" w:line="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26, 2023, each holder of our Preferred Stock waived its right to receive the deferred dividends on or before December 31, 2023. Under these waivers and the Certificate of Designations, the deferred dividends would continue to accrue at a rate of 9.5% per year until declared and paid, with payment to occur on or before June 30, 2024.</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27, 2024, each holder of Preferred Stock further waived its right to receive the deferred dividends on or before June 30, 2024. In addition, each holder waived its right to receive on June 30, 2024 the annual dividends otherwise payable on that date for the dividend period ending June 29, 2024. Under these waivers and the Certificate of Designations, the deferred dividends for both periods (2023 and 2024) would continue to accrue and accumulate at a rate of 9.5% per year until declared and paid, with payment to occur on or before July 31, 2024, subject to certain conditions.</w:t>
      </w:r>
    </w:p>
    <w:p>
      <w:pPr>
        <w:spacing w:after="0" w:line="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24, 2024, we issued 13,257,294 additional shares of Preferred Stock to the existing holders of Preferred Stock in exchange for cancellation of our obligation to pay the deferred dividends described above, which totaled $32.8 million on the issuance date. On the date of issuance, the additional shares of Preferred Stock were convertible into 662,862 shares of our Common Stock, representing an effective conversion price of $49.438 per share for the canceled dividend obligation. The additional shares of Preferred Stock have the same terms and conditions as the Preferred Stock previously issued, including that holders are entitled to cumulative dividends at a rate of 7.5% per annum, payable annually in arrears and subject to increase under certain circumstances.</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issuance, we also entered into an amendment to the Stockholders Agreement with the holders of Preferred Stock. Among other things, the amendment reduced the $100.0 million special dividend threshold set forth in the Stockholders Agreement by an amount equal to the liquidation preference of the additional Preferred Stock ($32.8 million). After further reducing the threshold by annual dividends paid in prior years, the current special dividend threshold is $47.0 million.</w:t>
      </w:r>
    </w:p>
    <w:p>
      <w:pPr>
        <w:spacing w:after="0" w:line="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each share of Preferred Stock was convertible into 0.051892 shares of Common Stock, with such conversion rate scheduled to return to 0.05 upon payment of accrued dividends.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payment of dividends (annual or special) in the form of cash could significantly impact our financial position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Secured Credit Agreement</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31, 2024, we entered into the Credit Agreement with Blue Torch Finance LLC. The Credit Agreement has a term of four years and matures in December 2028. The Credit Agreement provides a borrowing capacity of $60.0 million consisting of the $45.0 million Term Loan and the $15.0 million Revolving Facility. As of December 31, 2024, the interest rate for the Term Loan was 11.59% based on the Adjusted Term SOFR rate, as defined in the Credit Agreement. In addition, the Credit Agreement provides for an unused commitment fee equal to 1.0% per annum of the unused Revolving Facility.</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outstanding under the Credit Agreement must be prepaid from time to time with the net cash proceeds of certain debt incurrences, equity issuances, asset sales and other dispositions, insurance and condemnation proceeds, tax refunds and other extraordinary receipts. Additionally, beginning with the fiscal year ending December 31, 2025, we may be required to prepay the loans annually with Excess Cash Flow (as defined in the Credit Agreement) at specified percentages. Certain payments may be subject to prepayment premiums.</w:t>
      </w:r>
    </w:p>
    <w:p>
      <w:pPr>
        <w:spacing w:after="0" w:line="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Credit Agreement contains financial covenants that require us to maintain a maximum Senior Leverage Ratio and minimum Liquidity (each term as defined in the Credit Agreement) during the term of the facility. Additionally, the Credit Agreement contains restrictive covenants that limit our ability to, among other things, incur additional indebtedness and liens, make investments and loans, enter into mergers and acquisitions, make or declare dividends and other payments, enter into certain contracts, sell assets and engage in transactions with affiliates. With respect to dividends, the Credit Agreement prohibits the payment of cash dividends to holders of the Preferred Stock prior to April 1, 2026 and imposes certain limitations on cash dividends, including a heightened Liquidity requirement, on and after that date.</w:t>
      </w:r>
    </w:p>
    <w:p>
      <w:pPr>
        <w:spacing w:after="0" w:line="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we had $45.0 million outstanding under the Term Loan and no borrowings outstanding under the Revolving Facility, with a remaining borrowing capacity of $15.0 million.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on the Credit Agreement, refer to </w:t>
      </w:r>
      <w:r>
        <w:rPr>
          <w:rFonts w:ascii="Times New Roman" w:cs="Times New Roman" w:eastAsia="Times New Roman" w:hAnsi="Times New Roman"/>
          <w:sz w:val="18"/>
          <w:szCs w:val="18"/>
          <w:u w:val="single" w:color="auto"/>
          <w:color w:val="0000FF"/>
        </w:rPr>
        <w:t>Footnote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Prior Credit Agreement</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5, 2021, we entered into the Prior Credit Agreement. The Prior Credit Agreement provided for a borrowing capacity equal to $25.0 million, which was reduced from $40.0 million on May 3, 2024. We could also request the issuance of letters of credit under the Prior Credit Agreement in an aggregate amount up to $5.0 million.</w:t>
      </w:r>
    </w:p>
    <w:p>
      <w:pPr>
        <w:spacing w:after="0" w:line="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3, 2024, we entered into an amendment to the Prior Credit Agreement that, among other things, (i) extended the maturity date of the facility from May 5, 2024 to November 5, 2024; (ii) reduced our borrowing capacity from $40.0 million to $25.0 million; (iii) increased the</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applicable rate payable on SOFR-based loans to 4.50%; (iv) revised certain financial covenants; (v) limited certain restricted payments (including dividends) with respect to our equity interests; (vi) required a repayment of $6.0 million to reduce the principal amount outstanding under the facility; and</w:t>
      </w:r>
    </w:p>
    <w:p>
      <w:pPr>
        <w:ind w:right="20" w:firstLine="8"/>
        <w:spacing w:after="0" w:line="260" w:lineRule="auto"/>
        <w:tabs>
          <w:tab w:leader="none" w:pos="3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for certain amendment fees, including a fee of 2.0% of aggregate commitments due on the maturity date unless all obligations were paid in full prior to such date.</w:t>
      </w:r>
    </w:p>
    <w:p>
      <w:pPr>
        <w:spacing w:after="0" w:line="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 2024, we repaid the outstanding principal balance of $10.0 million under the Prior Credit Agreement. On November 5, 2024, we entered into an amendment to the Prior Credit Agreement to extend the maturity date with respect to the outstanding letters of credit under the facility to January 31, 2025. The amendment reduced the aggregate lender commitments under the Prior Credit Agreement to equal the outstanding letters of credit (totaling $3.2 million) and limited the purpose of, and use of proceeds under, the Prior Credit Agreement to the issuance of letters of credit. Additionally, the amendment terminated certain financial covenants while maintaining the same non-financial covenants, security interest and interest rate as in effect immediately prior to the amendment.</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31, 2024, we terminated the amended Prior Credit Agreement. As described above, we used a portion of proceeds from the Term Loan to cash collateralize our outstanding letters of credit under the Prior Credit Agreement. We had no other borrowings outstanding under the Prior Credit Agreement on the termination date, and we did not incur any early termination penalties in connection with the termination.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on the Prior Credit Agreement, refer to </w:t>
      </w:r>
      <w:r>
        <w:rPr>
          <w:rFonts w:ascii="Times New Roman" w:cs="Times New Roman" w:eastAsia="Times New Roman" w:hAnsi="Times New Roman"/>
          <w:sz w:val="18"/>
          <w:szCs w:val="18"/>
          <w:u w:val="single" w:color="auto"/>
          <w:color w:val="0000FF"/>
        </w:rPr>
        <w:t>Footnote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Cash</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represents collateralized letters of credit and security deposits for subleased office space. As of December 31, 2024 and 2023, we had $3.5 million and $0.2 million of restricted cash,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primary source of cash provided by operating activities is revenues generated from sales of our products and services. Our primary uses of cash from operating activities include personnel costs and costs related to data and infrastructure used to develop and maintain our products and services.</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is calculated by adjusting our net loss for changes in working capital, as well as by excluding non-cash items such as: depreciation, stock-based compensation, non-cash operating lease expense, amortization expense of finance leases and intangible assets, impairment of right-of-use and long-lived assets and goodwill, deferred tax provision and change in the fair value of warrants liability.</w:t>
      </w:r>
    </w:p>
    <w:p>
      <w:pPr>
        <w:spacing w:after="0" w:line="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 2024 was $18.1 million compared to $28.9 million in 2023. The decrease in cash provided by operating activities was partially attributable to a net decrease in cash generated from operating assets and liabilities, with $23.8 million of cash used for the year ended December 31, 2024 as compared to $10.5 million for the year ended December 31, 2023. This was primarily due to lower revenue, higher vendor payments (including aged accounts payable resolved at year-end with proceeds from the Term Loan), and the timing of cash receipts from customers in 2024. Other contributors included lower adjustments for amortization of intangible assets and stock-based compensation expense in 2024 compared to 2023.</w:t>
      </w:r>
    </w:p>
    <w:p>
      <w:pPr>
        <w:spacing w:after="0" w:line="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 2023 was $28.9 million compared to $34.9 million in 2022. The decrease in cash provided by operating activities was partially attributable to a net decrease in cash generated from operating assets and liabilities, with $10.5 million of cash used for the year ended December 31, 2023 as compared to $0.3 million of cash generated for the year ended December 31, 2022. The lower amount of cash generated from operating assets and liabilities in 2023 was primarily due to severance payments made in 2023, as well as the first payment of contingent consideration for our 2021 Shareablee acquisition. Other contributors to the decrease in cash provided by operating activities were lower revenue, lower adjustments for amortization and stock-based compensation expense and change in fair value of contingent consideration in 2023, offset by the change in fair value of our warrants liability and depreciation.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primarily consists of payments related to capitalized internal-use software costs, purchases of computer and network equipment to support our technical infrastructure, and furniture and equipment. The extent of these investments will be affected by our ability to expand relationships with existing customers, grow our customer base and introduce new digital formats, as well as constraints on cash expenditures due to our financial position and the current economic environment.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in 2024 was $24.1 million compared to $23.8 million in 2023.</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2023 was $23.8 million compared to $17.8 million in 2022. The increase in cash used in investing activities was primarily due to an increase in cash paid for capitalized internally developed software as we increased our focus on product infrastructure and innovation in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in 2024 was $17.6 million compared to net cash used in financing activities of $3.4 million in 2023. The increase in cash provided by financing activities was primarily due to net proceeds of $40.4 million from the Credit Agreement in 2024. This was offset by the repayment of $16.0 million under the Prior Credit Agreement and the payment of the second installment of contingent consideration for our 2021 Shareablee acquisition initially recorded at fair value and paid in 2024.</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 2023 was $3.4 million compared to $18.1 million in 2022. The decrease in cash used for financing activities was primarily due to the deferral of accrued dividends due to holders of the Preferred Stock in 2023, as described under "Preferred Stock" above. This was offset by a portion of the first payment of contingent consideration for our 2021 Shareablee acquisition initially recorded at fair value and paid in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Payment Obligations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certain long-term contractual arrangements that have fixed and determinable payment obligations including purchase obligations with MVPDs and connected TV data providers, operating and financing leases, and data storage and bandwidth arrangements.</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data licensing agreements with a number of MVPDs and other providers for set-top box and connected TV data. These agreements have remaining terms of less than one year to seven years. As of December 31, 2024, the total fixed payment obligations related to set-top box and connected TV data agreements are $125.5 million and $25.4 million, respectively. In addition, we expect to make variable payments related to a set-top box data agreement totaling an estimated $108.8 million over the next seven years.</w:t>
      </w:r>
    </w:p>
    <w:p>
      <w:pPr>
        <w:spacing w:after="0" w:line="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both operating and financing leases related to corporate office space and equipment. Our leases have remaining terms from less than one year to five years. As of December 31, 2024, the total fixed payment obligation related to these agreements is $36.4 million.</w:t>
      </w:r>
    </w:p>
    <w:p>
      <w:pPr>
        <w:spacing w:after="0" w:line="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an agreement for cloud-based data storage and bandwidth to help process and store our data. The remaining term for this agreement is less than one year. As of December 31, 2024, the total fixed payment obligation related to this agreement is $13.8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Capital Requirements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generate cash is subject to our performance, general economic conditions, industry trends and other factors, including the timing of cash collections from our customers, data costs and other trade payables, service of our debt and lease facilities, dividend payment obligations, and expenses from ongoing compliance efforts and legal matters. To the extent that our existing cash, cash equivalents and operating cash flow, together with savings from cost-reduction initiatives undertaken by our management and amounts available to us under the Revolving Facility, are insufficient to fund our future activities and requirements, we may need to raise additional funds through public or private equity or debt financing. We may also be required to prepay or refinance our Credit Agreement or raise additional funds in order to pay dividends to holders of our Preferred Stock, as described above. Our history of net losses, as well as disruption and volatility in global capital and credit markets, could impact our ability to access capital resources on terms acceptable to us or at all. If we issue additional equity securities in order to raise additional funds, pay dividends or for other purposes, further dilution to existing stockholders may occur.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Consolidated Financial Statements, which have been prepared in accordance with generally accepted accounting principles in the U.S. ("GAAP"). The preparation of these financial statements requires us to make estimates, assumptions and judgments that affect the amounts reported in our Consolidated Financial Statements and the accompanying Notes to Consolidated Financial Statements. We base our estimates on historical experience and on various other assumptions that we believe to be reasonable under the circumstances.</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accounting estimates and assumptions discussed in this section are those that we consider to be the most critical to an understanding of our financial condition and results of operations because they involve significant judgments and uncertainties. Actual results in these areas could differ from management's estimates. Refer to </w:t>
      </w:r>
      <w:r>
        <w:rPr>
          <w:rFonts w:ascii="Times New Roman" w:cs="Times New Roman" w:eastAsia="Times New Roman" w:hAnsi="Times New Roman"/>
          <w:sz w:val="18"/>
          <w:szCs w:val="18"/>
          <w:u w:val="single" w:color="auto"/>
          <w:color w:val="0000FF"/>
        </w:rPr>
        <w:t>Footnote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for further information on our most significant accounting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revenue under the core principle of depicting the transfer of promised goods and services to our customers in an amount that reflects the consideration to which we expect to be entitled. Significant judgments used in the determination of the amount and timing of our revenue recognition include the identification of distinct performance obligations and the allocation of contract consideration among individual performance obligations based on their relative standalone selling price ("SSP").</w:t>
      </w:r>
    </w:p>
    <w:p>
      <w:pPr>
        <w:spacing w:after="0" w:line="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Performance obligations are identified by evaluating whether the promised goods and services are capable of being distinct and distinct within the context of the contract. We have a limited number of monetary contracts with MVPDs that involve both the purchase and sale of services with a single counterparty. Each contract is assessed to determine if the goods and services exchanged between the two parties represent distinct performance obligations which can entail significant judgment. The conclusion regarding whether goods and services exchanged are distinct determines whether consideration received from the counterparty is recognized as revenues (up to the SSP of the distinct goods or services), or as a reduction to the purchase price of the goods or services recorded in our cost of revenues.</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based on its relative SSP. In most sales contracts, we bundle multiple products and very few are sold on a standalone basis. As a result, our SSP is not directly observable and we have to develop internal estimates using information that is reasonably available to us. Our SSP is primarily developed using an adjusted market approach supported by rate cards and pricing calculators that are periodically reviewed and updated to reflect the best available information. Bundled arrangements may include a combination of distinct goods and services where some are satisfied over time and others are satisfied at a point in time. Changes to the SSP will impact the amount of consideration allocated to each performance obligation, which could have an impact on the timing and amount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recognized in future periods as our performance obligations are satisfied. The determination of SSP also impacts the amount of revenues we can recognize in transactions where consideration is exchanged with counterparties as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valuation of goodwill involves the use of management's estimates and assumptions and can have a significant impact on future operating results. Goodwill is not amortized but is evaluated for impairment at least annually, as of October 1, by comparing the fair value of a reporting unit to its carrying value including goodwill recorded by the reporting unit.</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one reporting unit. As such, we perform the impairment assessment for goodwill at the enterprise level. Goodwill is reviewed for possible impairment between annual tests if an event occurs or circumstances change that would more likely than not reduce the fair value of the reporting unit below the carrying value. In assessing the possibility that our reporting unit's fair value has been reduced below its carrying value due to the occurrence of events or circumstances between annual impairment testing dates, we consider all available evidence including, but not limited to: (i) the results of our impairment testing from the most recent testing date (in particular, the magnitude of the excess of fair value over carrying value observed), (ii) downward revisions to internal forecasts, if any, (iii) declines in market capitalization below book value (and the magnitude and duration of those declines), if any, and (iv) changes in general industry, market and macroeconomic conditions.</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determine the fair value of our reporting unit using a combination of the income and market approaches. The results from each of these approaches are weighted appropriately taking into account the relevance and availability of data at the time we perform the valuation.</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income approach, the fair value is determined using a discounted cash flow model based on projected financial performance and discount rates that take into account an appropriate risk-adjusted return. The discounted cash flow model requires the use of various assumptions in developing the present value of projected cash flows, the following of which are significant to our analysis:</w:t>
      </w:r>
    </w:p>
    <w:p>
      <w:pPr>
        <w:spacing w:after="0" w:line="52"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Projected financial performance: </w:t>
      </w:r>
      <w:r>
        <w:rPr>
          <w:rFonts w:ascii="Times New Roman" w:cs="Times New Roman" w:eastAsia="Times New Roman" w:hAnsi="Times New Roman"/>
          <w:sz w:val="18"/>
          <w:szCs w:val="18"/>
          <w:color w:val="auto"/>
        </w:rPr>
        <w:t>expected future cash flows and growth rates are based upon assumptions of our future revenue growth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costs. Actual results of operations and cash flows will likely differ from those utilized in our discounted cash flow analysis, and it is possible that those differences could be material.</w:t>
      </w:r>
    </w:p>
    <w:p>
      <w:pPr>
        <w:spacing w:after="0" w:line="5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Long-term growth rate: </w:t>
      </w:r>
      <w:r>
        <w:rPr>
          <w:rFonts w:ascii="Times New Roman" w:cs="Times New Roman" w:eastAsia="Times New Roman" w:hAnsi="Times New Roman"/>
          <w:sz w:val="18"/>
          <w:szCs w:val="18"/>
          <w:color w:val="auto"/>
        </w:rPr>
        <w:t>the long-term growth rate represents the rate at which our single reporting unit's earnings are expected to grow or losses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Our assumed long-term growth rate was based on projected long-term inflation and gross domestic product growth estimates for the countries in which we operate and a long-term growth estimate for our business and the industry in which we operate. The long-term growth rate selected for the 2024, 2023 and 2022 annual impairment analyses was 3.0%.</w:t>
      </w:r>
    </w:p>
    <w:p>
      <w:pPr>
        <w:spacing w:after="0" w:line="4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Discount rate: </w:t>
      </w:r>
      <w:r>
        <w:rPr>
          <w:rFonts w:ascii="Times New Roman" w:cs="Times New Roman" w:eastAsia="Times New Roman" w:hAnsi="Times New Roman"/>
          <w:sz w:val="18"/>
          <w:szCs w:val="18"/>
          <w:color w:val="auto"/>
        </w:rPr>
        <w:t>our reporting unit's future cash flows are discounted at a rate that is consistent with our average weighted cost of capital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likely to be utilized by market participants. The weighted-average cost of capital is our estimate of the overall returns required by both debt and equity investors, weighted by their respective contributions of capital. We use discount rates that are commensurate with the risks and uncertainty inherent in our business and in our internally-developed forecasts. The discount rates selected for the 2024, 2023 and 2022 annual impairment analyses were 24.5%, 22.0% and 27.0%, respectively. Our selected discount rate was higher in 2024 in comparison to 2023 primarily due to the increase in company-specific risk premium ("CSRP"). The increase in CSRP was related to an increase in operational risk in earnings before interest, taxes, depreciation, and amortization.</w:t>
      </w:r>
    </w:p>
    <w:p>
      <w:pPr>
        <w:spacing w:after="0" w:line="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market approach, the fair value is determined using certain financial metrics of publicly traded companies or historically completed transactions of comparable businesses. The selection of comparable businesses requires judgment and is based on the markets in which we operate giving consideration to, amongst other things, risk profiles, size and geography. The market approach may also be limited in instances where there is a lack of recently executed transactions of comparable businesses. We determine fair value primarily based on selected market multiples based on current and projected revenues compared to business enterprise value, with an estimated control premium as applicable.</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of 2024, we concluded that it was more likely than not that the estimated fair value of our reporting unit was less than its carrying value. In our assessment, we considered changes in our stock price, market and equity capitalization, operating results and projections. We performed a quantitative goodwill impairment test in conjunction with the annual testing using a discounted cash flow model, supported by a market approach. Our reporting unit did not pass the goodwill impairment test, and as a result we recorded a $63.0 million non-cash impairment charge in the quarter ended September 30, 2024.</w:t>
      </w:r>
    </w:p>
    <w:p>
      <w:pPr>
        <w:spacing w:after="0" w:line="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allocated to our single reporting unit as of December 31, 2024 was $246.0 million. The projected long-term cash flows used in our fair value estimate are consistent with our most recent operating plan as of the evaluation date and are dependent on the successful execution of our business plan, overall industry growth rates and the competitive environment.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for events and circumstances that could negatively impact the key assumptions in determining the fair value of our goodwill, including long-term growth projections, profitability, discount rates, volatility in our market capitalization, and general industry, market and macroeconomic conditions. The judgments and estimates described above could change in future periods. If the reporting unit's future performance falls below our expectations, or if there are negative revisions to our fair value assumptions, including those that are significant and discussed above, we may need to record a material, non-cash goodwill impairment charge in a future period.</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3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As of December 31, 2024, we have interest rate risk in connection with the Term Loan under the Credit Agreement and foreign currency exchange rate risk from our global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Credit Agreement, borrowings bear interest at rates determined based on either the Adjusted Term SOFR rate or the Reference Rate (each as defined in the Credit Agreement). As of December 31, 2024, our Term Loan bore interest at a variable rate based on the Adjusted Term SOFR rate. As a result, we are subject to interest rate risk based on the Adjusted Term SOFR rate (or the Reference Rate, as applicable), and our interest obligation on outstanding borrowings will fluctuate with movements in the Adjusted Term SOFR rate (or the Reference Rate, as applicable). As of December 31, 2024, the stated interest rate on the Term Loan was 11.59%, per annum.</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voluntary or mandatory prepayments of the Term Loan, as prescribed by the Credit Agreement, are subject to prepayment premiums as follows: (i) with respect to any such payment occurring on or before December 31, 2025, a 3.0% prepayment premium plus a make-whole amount based on U.S. Treasury notes yield, (ii) with respect to any such payment occurring after December 31, 2025 and on or before December 31, 2026, a 1.0% prepayment premium, and (iii) with respect to any such payment occurring after December 31, 2026, no prepayment premium.</w:t>
      </w:r>
    </w:p>
    <w:p>
      <w:pPr>
        <w:spacing w:after="0" w:line="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our exposure to interest rate risk calculated using the Adjusted Term SOFR rate or the Reference Rate was not material. As of December 31, 2024, our exposure to interest rate risk related to prepayment breakage costs and prepayment premiums was not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globally, and we predominantly generate revenues and expenses in local currencies. We operate in several countries in Europe, as well as countries throughout South America and Asia Pacific. As such, we have exposure to adverse changes in exchange rates associated with revenues and operating expenses of our foreign operations. We have not engaged in any transactions that hedge foreign currency exchange rate risk.</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can be no guarantee that exchange rates will remain constant in future periods. In addition to the impact from the U.S. Dollar to Euro exchange rate movements, we are also impacted by the movements in the exchange rates between the U.S. Dollar and various South American, Asia Pacific and other European currencies. We performed a sensitivity analysis, assuming a 10% decrease or increase in the value of foreign currencies in which we operate. We determined that a 10% decrease in value would have resulted in a decrease to our net loss of approximately $10.9 million and a 10% increase in value would have resulted in an increase to our net loss of approximately $7.3 million for the year ended December 31, 2024.</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of our total $33.5 million in cash and cash equivalents, including restricted cash, $9.1 million was held by foreign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amount, we believe $2.0 million could be subject to income tax withholding of 5% to 15% if the funds were repatriated to the U.S.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104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Table of Conte</w:t>
            </w:r>
            <w:r>
              <w:rPr>
                <w:rFonts w:ascii="Times New Roman" w:cs="Times New Roman" w:eastAsia="Times New Roman" w:hAnsi="Times New Roman"/>
                <w:sz w:val="18"/>
                <w:szCs w:val="18"/>
                <w:color w:val="0019FF"/>
              </w:rPr>
              <w:t>nts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19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03"/>
        </w:trPr>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38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SUPPLEMENTARY DATA</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7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31"/>
        </w:trPr>
        <w:tc>
          <w:tcPr>
            <w:tcW w:w="20" w:type="dxa"/>
            <w:vAlign w:val="bottom"/>
          </w:tcPr>
          <w:p>
            <w:pPr>
              <w:spacing w:after="0"/>
              <w:rPr>
                <w:sz w:val="20"/>
                <w:szCs w:val="20"/>
                <w:color w:val="auto"/>
              </w:rPr>
            </w:pPr>
          </w:p>
        </w:tc>
        <w:tc>
          <w:tcPr>
            <w:tcW w:w="1044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comScore, Inc. Consolidated Financial Statements</w:t>
            </w:r>
          </w:p>
        </w:tc>
        <w:tc>
          <w:tcPr>
            <w:tcW w:w="4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10440" w:type="dxa"/>
            <w:vAlign w:val="bottom"/>
            <w:gridSpan w:val="8"/>
          </w:tcPr>
          <w:p>
            <w:pPr>
              <w:spacing w:after="0" w:line="181" w:lineRule="exact"/>
              <w:rPr>
                <w:sz w:val="20"/>
                <w:szCs w:val="20"/>
                <w:color w:val="auto"/>
              </w:rPr>
            </w:pPr>
            <w:r>
              <w:rPr>
                <w:rFonts w:ascii="Times New Roman" w:cs="Times New Roman" w:eastAsia="Times New Roman" w:hAnsi="Times New Roman"/>
                <w:sz w:val="16"/>
                <w:szCs w:val="16"/>
                <w:color w:val="0000FF"/>
              </w:rPr>
              <w:t>REPORT OF INDEPENDENT REGISTERED PUBLIC ACCOUNTING FIRM</w:t>
            </w:r>
          </w:p>
        </w:tc>
        <w:tc>
          <w:tcPr>
            <w:tcW w:w="7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0000FF"/>
              </w:rPr>
              <w:t>43</w:t>
            </w:r>
          </w:p>
        </w:tc>
      </w:tr>
      <w:tr>
        <w:trPr>
          <w:trHeight w:val="196"/>
        </w:trPr>
        <w:tc>
          <w:tcPr>
            <w:tcW w:w="20" w:type="dxa"/>
            <w:vAlign w:val="bottom"/>
          </w:tcPr>
          <w:p>
            <w:pPr>
              <w:spacing w:after="0"/>
              <w:rPr>
                <w:sz w:val="17"/>
                <w:szCs w:val="17"/>
                <w:color w:val="auto"/>
              </w:rPr>
            </w:pPr>
          </w:p>
        </w:tc>
        <w:tc>
          <w:tcPr>
            <w:tcW w:w="26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2540" w:type="dxa"/>
            <w:vAlign w:val="bottom"/>
            <w:tcBorders>
              <w:top w:val="single" w:sz="8" w:color="0000FF"/>
            </w:tcBorders>
            <w:gridSpan w:val="3"/>
          </w:tcPr>
          <w:p>
            <w:pPr>
              <w:spacing w:after="0"/>
              <w:rPr>
                <w:sz w:val="17"/>
                <w:szCs w:val="17"/>
                <w:color w:val="auto"/>
              </w:rPr>
            </w:pPr>
          </w:p>
        </w:tc>
        <w:tc>
          <w:tcPr>
            <w:tcW w:w="5220" w:type="dxa"/>
            <w:vAlign w:val="bottom"/>
            <w:gridSpan w:val="2"/>
          </w:tcPr>
          <w:p>
            <w:pPr>
              <w:spacing w:after="0"/>
              <w:rPr>
                <w:sz w:val="17"/>
                <w:szCs w:val="17"/>
                <w:color w:val="auto"/>
              </w:rPr>
            </w:pPr>
          </w:p>
        </w:tc>
        <w:tc>
          <w:tcPr>
            <w:tcW w:w="600" w:type="dxa"/>
            <w:vAlign w:val="bottom"/>
            <w:gridSpan w:val="2"/>
          </w:tcPr>
          <w:p>
            <w:pPr>
              <w:spacing w:after="0"/>
              <w:rPr>
                <w:sz w:val="17"/>
                <w:szCs w:val="17"/>
                <w:color w:val="auto"/>
              </w:rPr>
            </w:pPr>
          </w:p>
        </w:tc>
        <w:tc>
          <w:tcPr>
            <w:tcW w:w="1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46</w:t>
            </w:r>
          </w:p>
        </w:tc>
      </w:tr>
      <w:tr>
        <w:trPr>
          <w:trHeight w:val="196"/>
        </w:trPr>
        <w:tc>
          <w:tcPr>
            <w:tcW w:w="20" w:type="dxa"/>
            <w:vAlign w:val="bottom"/>
          </w:tcPr>
          <w:p>
            <w:pPr>
              <w:spacing w:after="0"/>
              <w:rPr>
                <w:sz w:val="17"/>
                <w:szCs w:val="17"/>
                <w:color w:val="auto"/>
              </w:rPr>
            </w:pPr>
          </w:p>
        </w:tc>
        <w:tc>
          <w:tcPr>
            <w:tcW w:w="1044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OPERATIONS AND COMPREHENSIVE LOSS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47</w:t>
            </w:r>
          </w:p>
        </w:tc>
      </w:tr>
      <w:tr>
        <w:trPr>
          <w:trHeight w:val="20"/>
        </w:trPr>
        <w:tc>
          <w:tcPr>
            <w:tcW w:w="20" w:type="dxa"/>
            <w:vAlign w:val="bottom"/>
          </w:tcPr>
          <w:p>
            <w:pPr>
              <w:spacing w:after="0" w:line="20" w:lineRule="exact"/>
              <w:rPr>
                <w:sz w:val="1"/>
                <w:szCs w:val="1"/>
                <w:color w:val="auto"/>
              </w:rPr>
            </w:pPr>
          </w:p>
        </w:tc>
        <w:tc>
          <w:tcPr>
            <w:tcW w:w="362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4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CONSOLIDATED STATEMENT OF CHANGES IN CONVERTIBLE REDEEMABLE PREFERRED STOCK AND STOCKHOLDERS' EQUITY (DEFICIT)</w:t>
            </w:r>
          </w:p>
        </w:tc>
        <w:tc>
          <w:tcPr>
            <w:tcW w:w="600" w:type="dxa"/>
            <w:vAlign w:val="bottom"/>
            <w:gridSpan w:val="2"/>
          </w:tcPr>
          <w:p>
            <w:pPr>
              <w:spacing w:after="0"/>
              <w:rPr>
                <w:sz w:val="17"/>
                <w:szCs w:val="17"/>
                <w:color w:val="auto"/>
              </w:rPr>
            </w:pP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48</w:t>
            </w:r>
          </w:p>
        </w:tc>
      </w:tr>
      <w:tr>
        <w:trPr>
          <w:trHeight w:val="196"/>
        </w:trPr>
        <w:tc>
          <w:tcPr>
            <w:tcW w:w="20" w:type="dxa"/>
            <w:vAlign w:val="bottom"/>
          </w:tcPr>
          <w:p>
            <w:pPr>
              <w:spacing w:after="0"/>
              <w:rPr>
                <w:sz w:val="17"/>
                <w:szCs w:val="17"/>
                <w:color w:val="auto"/>
              </w:rPr>
            </w:pPr>
          </w:p>
        </w:tc>
        <w:tc>
          <w:tcPr>
            <w:tcW w:w="3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9"/>
              </w:rPr>
              <w:t>CONSOLIDATED STATEMENTS OF CASH FLOWS</w:t>
            </w:r>
          </w:p>
        </w:tc>
        <w:tc>
          <w:tcPr>
            <w:tcW w:w="6820" w:type="dxa"/>
            <w:vAlign w:val="bottom"/>
            <w:gridSpan w:val="4"/>
          </w:tcPr>
          <w:p>
            <w:pPr>
              <w:spacing w:after="0"/>
              <w:rPr>
                <w:sz w:val="17"/>
                <w:szCs w:val="17"/>
                <w:color w:val="auto"/>
              </w:rPr>
            </w:pPr>
          </w:p>
        </w:tc>
        <w:tc>
          <w:tcPr>
            <w:tcW w:w="600" w:type="dxa"/>
            <w:vAlign w:val="bottom"/>
            <w:gridSpan w:val="2"/>
          </w:tcPr>
          <w:p>
            <w:pPr>
              <w:spacing w:after="0"/>
              <w:rPr>
                <w:sz w:val="17"/>
                <w:szCs w:val="17"/>
                <w:color w:val="auto"/>
              </w:rPr>
            </w:pP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49</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9"/>
              </w:rPr>
              <w:t>NOTES TO CONSOLIDATED FINANCIAL STATEMENTS</w:t>
            </w:r>
          </w:p>
        </w:tc>
        <w:tc>
          <w:tcPr>
            <w:tcW w:w="6400" w:type="dxa"/>
            <w:vAlign w:val="bottom"/>
            <w:gridSpan w:val="3"/>
          </w:tcPr>
          <w:p>
            <w:pPr>
              <w:spacing w:after="0"/>
              <w:rPr>
                <w:sz w:val="17"/>
                <w:szCs w:val="17"/>
                <w:color w:val="auto"/>
              </w:rPr>
            </w:pPr>
          </w:p>
        </w:tc>
        <w:tc>
          <w:tcPr>
            <w:tcW w:w="600" w:type="dxa"/>
            <w:vAlign w:val="bottom"/>
            <w:gridSpan w:val="2"/>
          </w:tcPr>
          <w:p>
            <w:pPr>
              <w:spacing w:after="0"/>
              <w:rPr>
                <w:sz w:val="17"/>
                <w:szCs w:val="17"/>
                <w:color w:val="auto"/>
              </w:rPr>
            </w:pP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51</w:t>
            </w:r>
          </w:p>
        </w:tc>
      </w:tr>
    </w:tbl>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comScore,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comScore, Inc. and subsidiaries (the "Company") as of December 31, 2024 and 2023, the related consolidated statements of operations and comprehensive loss, changes in convertible redeemable preferred stock and stockholders' equity (deficit),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6, 2025,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ind w:right="4480"/>
        <w:spacing w:after="0" w:line="3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 Certain Complex Contracts – Refer to Notes 2 and 3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 under the core principle to depict the transfer of control to its customers in an amount reflecting the consideration to which it expects to be entitled. The Company's contracts with customers may include multiple promised goods and services. Contracts with multiple performance obligations typically consist of a mix of subscriptions to the Company's online database, customized data services, and delivery of periodic custom reports based on information obtained from the database. In such cases, the Company identifies performance obligations by evaluating whether the promised goods and services are capable of being distinct and distinct within the context of the contract at contract inception. Promised goods and services that are not distinct at contract inception are combined as one performance obligation.</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Once the Company identifies the performance obligations, the Company will determine the transaction price based on contractually fixed amounts and an estimate of variable consideration. In general, the transaction price is determined by estimating the fixed amount of consideration to which the Company is entitled for transfer of goods and services and all relevant sources and components of variable consideration. Variable consideration is estimated based on the most likely amount or expected value approach, depending on which method the Company expects to better predict the amount of consideration to which it will be entitled. Once the Company elects one of the methods to estimate variable consideration for a particular type of performance obligation, the Company will apply that method consistently. Estimates of variable consideration are subject to constraint based on expected recovery from the customer.</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allocates the transaction price to each performance obligation based on relative standalone selling price ("SSP"). The Company recognizes revenue when (or as) it satisfies a performance obligation by transferring promised goods or services to a customer. Customers may obtain the control of promised goods or services over time or at a point in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the complexity of certain of the Company's contracts, such as contracts with multichannel video programming distributors ("MVPDs") that involve both the purchase and sale of services with a single counterparty, we concluded that revenue recognition from certain identified contracts represents a critical audit matter because of the judgments necessary for management to identify performance obligations, determine the transaction price, allocate transaction price to the performance obligations and recognize revenue when performance obligations are satisfied. Performing audit procedures related to revenue recognition for these contracts required more extensive audit effort and a higher degree of auditor judgment.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procedures related to evaluating the significant estimates and judgments used by management in the determination of the accounting for certain more complex revenue contracts, including the identification of performance obligations, determination of the transaction price, allocation of the transaction price to the performance obligations and recognition of revenue when performance obligations are satisfied, included the following, among others:</w:t>
      </w:r>
    </w:p>
    <w:p>
      <w:pPr>
        <w:spacing w:after="0" w:line="58" w:lineRule="exact"/>
        <w:rPr>
          <w:sz w:val="20"/>
          <w:szCs w:val="20"/>
          <w:color w:val="auto"/>
        </w:rPr>
      </w:pPr>
    </w:p>
    <w:p>
      <w:pPr>
        <w:ind w:left="66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including controls over the identification of performance obligations, determination of the transaction price, allocation of the transaction price, and determination of when performance obligations are satisfied.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revenue contracts identified as having more complex terms, we performed the following:</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2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Analyzed the underlying contract and any amendments or modifications to determine if all arrangement terms that may have an impact on revenue recognition were identified and independently evaluated management's accounting for the contract.</w:t>
      </w:r>
    </w:p>
    <w:p>
      <w:pPr>
        <w:spacing w:after="0" w:line="1" w:lineRule="exact"/>
        <w:rPr>
          <w:rFonts w:ascii="Times New Roman" w:cs="Times New Roman" w:eastAsia="Times New Roman" w:hAnsi="Times New Roman"/>
          <w:sz w:val="18"/>
          <w:szCs w:val="18"/>
          <w:color w:val="auto"/>
        </w:rPr>
      </w:pPr>
    </w:p>
    <w:p>
      <w:pPr>
        <w:ind w:left="1300" w:hanging="320"/>
        <w:spacing w:after="0" w:line="281" w:lineRule="auto"/>
        <w:tabs>
          <w:tab w:leader="none" w:pos="131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management's identification of distinct performance obligations by evaluating whether the underlying goods, services, or both were capable of being distinct and distinct within the context of the contract.</w:t>
      </w:r>
    </w:p>
    <w:p>
      <w:pPr>
        <w:spacing w:after="0" w:line="1" w:lineRule="exact"/>
        <w:rPr>
          <w:rFonts w:ascii="Times New Roman" w:cs="Times New Roman" w:eastAsia="Times New Roman" w:hAnsi="Times New Roman"/>
          <w:sz w:val="18"/>
          <w:szCs w:val="18"/>
          <w:color w:val="auto"/>
        </w:rPr>
      </w:pPr>
    </w:p>
    <w:p>
      <w:pPr>
        <w:ind w:left="1300" w:hanging="320"/>
        <w:spacing w:after="0" w:line="281" w:lineRule="auto"/>
        <w:tabs>
          <w:tab w:leader="none" w:pos="12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SSP established by management by obtaining supporting evidence for management's determination of the SSP and tested the allocation of the contract value to performance obligations based on the SSP.</w:t>
      </w:r>
    </w:p>
    <w:p>
      <w:pPr>
        <w:spacing w:after="0" w:line="1"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2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timing of revenue recognition by evaluating whether revenue should be recognized over time or at a point in time, and whether the revenue was recognized in the appropriate period by examining evidence of delivery or access to support the timing of revenue recognition based on the product or service type.</w:t>
      </w:r>
    </w:p>
    <w:p>
      <w:pPr>
        <w:spacing w:after="0" w:line="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management's calculation of revenue.</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external evidence regarding the delivery of the performance obligation(s) and confirming there are no side agreements.</w:t>
      </w:r>
    </w:p>
    <w:p>
      <w:pPr>
        <w:spacing w:after="0" w:line="221" w:lineRule="exact"/>
        <w:rPr>
          <w:sz w:val="20"/>
          <w:szCs w:val="20"/>
          <w:color w:val="auto"/>
        </w:rPr>
      </w:pPr>
    </w:p>
    <w:p>
      <w:pPr>
        <w:ind w:right="4280"/>
        <w:spacing w:after="0" w:line="3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 Goodwill Impairment Analysis – Refer to Notes 2 and 9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is evaluated for impairment at least annually, as of October 1, by comparing the fair value of a reporting unit to its carrying value including goodwill. The Company has a single reporting unit. Accordingly, the impairment assessment for goodwill is performed at the enterprise level. Goodwill is reviewed for possible impairment between annual tests if an event occurs or circumstances change that would more likely than not reduce the fair value of the reporting unit below its carrying value. The fair value of the reporting unit is determined utilizing a discounted cash flow model, and a market value approach is utilized to supplement the discounted cash flow model. The estimated fair value of a reporting unit is determined based on assumptions regarding estimated future cash flows, discount rate, long-term growth rates and market values.</w:t>
      </w:r>
    </w:p>
    <w:p>
      <w:pPr>
        <w:spacing w:after="0" w:line="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monitors for events and circumstances that could negatively impact the key assumptions in determining fair value, including long-term growth rates, profitability, discount rates, volatility in the Company's market capitalization, general industry, and market and macro-economic conditions.</w:t>
      </w:r>
    </w:p>
    <w:p>
      <w:pPr>
        <w:spacing w:after="0" w:line="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During the third quarter of 2024, the Company concluded that it was more likely than not that the estimated fair value of its reporting unit was less than its carrying value. In its assessment, the Company considered changes in the Company's stock price, market and equity capitalization, operating results and projections. The Company performed quantitative testing on its reporting unit using a discounted cash flow model (a form of the income approach) utilizing Level 3 unobservable inputs, supported by a market approach. The Company's reporting unit did not pass the goodwill impairment test, and as a result, the Company recorded a $63.0 million non-cash impairment charge during the three months ended September 30, 2024. No additional impairment indicators were identified during the fourth quarter of 2024.</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goodwill for the Company as a critical audit matter because of the significant judgments made by management to estimate the fair value of the reporting unit, specifically related to the selection of the discount rate and forecasts of future revenue. Performing audit procedures to evaluate the reasonableness of management's estimates and assumptions related to selection of the discount rate and forecasts of future revenue required a high degree of auditor judgment and an increased extent of effort, including the need to involve our fair value specialists.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forecasts of future revenue and the selection of the discount rate for the Company's goodwill impairment included the following, among others: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ind w:left="66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goodwill impairment evaluations, including those over the forecasts of future revenue and management's selection of the discount rate.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internal specialists used by the Company to perform the goodwill valuation analysis had the necessary competence, capabilities, and objectivity.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revenue by comparing the actual results to management's historical projections.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sensitized management's projections and performed inquiries of management to determine areas of audit focus.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forecasted revenue by comparing the forecasts to:</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revenue growth.</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industry revenue growth rates and revenue growth rates of peer group companies.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forecasts considering the impact of macro-economic conditions.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communications to management and the Board of Directors.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information included in analyst and industry reports for the Company and certain of its peer group.</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Corroborative inquiries with management regarding the projected revenue growth.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(1) valuation methodology and (2) discount rate by: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determination of the discount rate and the mathematical accuracy of the calculation.</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and comparing those to the discount rate selected by management.</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impact of changes in management's revenue forecasts from the October 1, 2024, annual measurement date, to December 31, 2024.</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COMSCORE,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22,750</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165"/>
        </w:trPr>
        <w:tc>
          <w:tcPr>
            <w:tcW w:w="832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Accounts receivable, net of allowances of $462 and $614, respectively ($913 and $786 of accounts receivable attributable</w:t>
            </w:r>
          </w:p>
        </w:tc>
        <w:tc>
          <w:tcPr>
            <w:tcW w:w="3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64,266</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63,826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 related parties, respectively)</w:t>
            </w:r>
          </w:p>
        </w:tc>
        <w:tc>
          <w:tcPr>
            <w:tcW w:w="3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10,323</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11,228</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108,057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97,990</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47,116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41,574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18,628</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8,115</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246,010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310,360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8,209</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12,040</w:t>
            </w:r>
          </w:p>
        </w:tc>
        <w:tc>
          <w:tcPr>
            <w:tcW w:w="0" w:type="dxa"/>
            <w:vAlign w:val="bottom"/>
          </w:tcPr>
          <w:p>
            <w:pPr>
              <w:spacing w:after="0"/>
              <w:rPr>
                <w:sz w:val="1"/>
                <w:szCs w:val="1"/>
                <w:color w:val="auto"/>
              </w:rPr>
            </w:pPr>
          </w:p>
        </w:tc>
      </w:tr>
      <w:tr>
        <w:trPr>
          <w:trHeight w:val="212"/>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430,247</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491,295</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Convertible Redeemable Preferred Stock and Stockholders' Equity (Deficit)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 ($2,070 and $11,996 attributable to related parties, respectively)</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30,551</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expenses ($8,588 and $3,781 attributable to related parties, respectively)</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35,013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Contract liabilities ($714 and $1,784 attributable to related parties, respectively)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48,912</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Revolving line of credit</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dividends (related parties)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24,132</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advances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11,076</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7,982</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7,230</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9,486</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131,304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182,561</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term loan</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40,718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23,003</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portion of accrued data costs ($22,031 and $21,908 attributable to related parties, respectively)</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32,833</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9,771</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7,589</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231,040</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247,307</w:t>
            </w:r>
          </w:p>
        </w:tc>
        <w:tc>
          <w:tcPr>
            <w:tcW w:w="0" w:type="dxa"/>
            <w:vAlign w:val="bottom"/>
          </w:tcPr>
          <w:p>
            <w:pPr>
              <w:spacing w:after="0"/>
              <w:rPr>
                <w:sz w:val="1"/>
                <w:szCs w:val="1"/>
                <w:color w:val="auto"/>
              </w:rPr>
            </w:pPr>
          </w:p>
        </w:tc>
      </w:tr>
      <w:tr>
        <w:trPr>
          <w:trHeight w:val="19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83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Convertible redeemable preferred stock, $0.001 par value; 100,000,000 shares authorized as of December 31, 2024 and</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December 31, 2023; 95,784,903 shares and 82,527,609 shares issued and outstanding as of December 31, 2024 and</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December 31, 2023, respectively; aggregate liquidation preference of $245,732 as of December 31, 2024 and $228,132 as of</w:t>
            </w:r>
          </w:p>
        </w:tc>
        <w:tc>
          <w:tcPr>
            <w:tcW w:w="3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207,470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187,885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 (related parties)</w:t>
            </w:r>
          </w:p>
        </w:tc>
        <w:tc>
          <w:tcPr>
            <w:tcW w:w="3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32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Preferred stock, $0.001 par value; 5,000,000 shares authorized as of December 31, 2024 and December 31, 2023; no shares</w:t>
            </w:r>
          </w:p>
        </w:tc>
        <w:tc>
          <w:tcPr>
            <w:tcW w:w="3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issued or outstanding as of December 31, 2024 or 2023</w:t>
            </w:r>
          </w:p>
        </w:tc>
        <w:tc>
          <w:tcPr>
            <w:tcW w:w="3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32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Common stock, $0.001 par value; 13,750,000 shares authorized as of December 31, 2024 and 2023; 5,228,814 shares issued</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2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and 4,890,575 shares outstanding as of December 31, 2024, and 5,093,380 shares issued and 4,755,141 shares outstanding</w:t>
            </w: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as of December 31, 2023</w:t>
            </w: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1,714,052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1,696,612</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(1,474,268)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(1,396,420)</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Treasury stock, at cost, 338,239 shares as of December 31, 2024 and 2023</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(229,984)</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(229,984)</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(8,263)</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56,103</w:t>
            </w:r>
          </w:p>
        </w:tc>
        <w:tc>
          <w:tcPr>
            <w:tcW w:w="0" w:type="dxa"/>
            <w:vAlign w:val="bottom"/>
          </w:tcPr>
          <w:p>
            <w:pPr>
              <w:spacing w:after="0"/>
              <w:rPr>
                <w:sz w:val="1"/>
                <w:szCs w:val="1"/>
                <w:color w:val="auto"/>
              </w:rPr>
            </w:pPr>
          </w:p>
        </w:tc>
      </w:tr>
      <w:tr>
        <w:trPr>
          <w:trHeight w:val="212"/>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liabilities, convertible redeemable preferred stock and stockholders' equity (deficit)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430,247</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491,295</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4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COMSCORE, INC.</w:t>
      </w:r>
    </w:p>
    <w:p>
      <w:pPr>
        <w:spacing w:after="0" w:line="3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Revenues </w:t>
            </w:r>
            <w:r>
              <w:rPr>
                <w:rFonts w:ascii="Times New Roman" w:cs="Times New Roman" w:eastAsia="Times New Roman" w:hAnsi="Times New Roman"/>
                <w:sz w:val="21"/>
                <w:szCs w:val="21"/>
                <w:color w:val="auto"/>
                <w:vertAlign w:val="superscript"/>
              </w:rPr>
              <w:t>(1)</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356,047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371,343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376,423</w:t>
            </w:r>
          </w:p>
        </w:tc>
        <w:tc>
          <w:tcPr>
            <w:tcW w:w="0" w:type="dxa"/>
            <w:vAlign w:val="bottom"/>
          </w:tcPr>
          <w:p>
            <w:pPr>
              <w:spacing w:after="0"/>
              <w:rPr>
                <w:sz w:val="1"/>
                <w:szCs w:val="1"/>
                <w:color w:val="auto"/>
              </w:rPr>
            </w:pPr>
          </w:p>
        </w:tc>
      </w:tr>
      <w:tr>
        <w:trPr>
          <w:trHeight w:val="196"/>
        </w:trPr>
        <w:tc>
          <w:tcPr>
            <w:tcW w:w="6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Cost of revenues </w:t>
            </w:r>
            <w:r>
              <w:rPr>
                <w:rFonts w:ascii="Times New Roman" w:cs="Times New Roman" w:eastAsia="Times New Roman" w:hAnsi="Times New Roman"/>
                <w:sz w:val="21"/>
                <w:szCs w:val="21"/>
                <w:color w:val="auto"/>
                <w:vertAlign w:val="superscript"/>
              </w:rPr>
              <w:t>(1) (2) (3)</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208,708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205,580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205,294</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Selling and marketing </w:t>
            </w:r>
            <w:r>
              <w:rPr>
                <w:rFonts w:ascii="Times New Roman" w:cs="Times New Roman" w:eastAsia="Times New Roman" w:hAnsi="Times New Roman"/>
                <w:sz w:val="21"/>
                <w:szCs w:val="21"/>
                <w:color w:val="auto"/>
                <w:vertAlign w:val="superscript"/>
              </w:rPr>
              <w:t>(2) (3)</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68,453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Research and development </w:t>
            </w:r>
            <w:r>
              <w:rPr>
                <w:rFonts w:ascii="Times New Roman" w:cs="Times New Roman" w:eastAsia="Times New Roman" w:hAnsi="Times New Roman"/>
                <w:sz w:val="21"/>
                <w:szCs w:val="21"/>
                <w:color w:val="auto"/>
                <w:vertAlign w:val="superscript"/>
              </w:rPr>
              <w:t>(2) (3)</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36,987</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1"/>
                <w:szCs w:val="21"/>
                <w:color w:val="auto"/>
                <w:vertAlign w:val="superscript"/>
              </w:rPr>
              <w:t>(2) (3)</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61,200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27,096</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46,300</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right-of-use and long-lived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5,810</w:t>
            </w:r>
          </w:p>
        </w:tc>
        <w:tc>
          <w:tcPr>
            <w:tcW w:w="0" w:type="dxa"/>
            <w:vAlign w:val="bottom"/>
          </w:tcPr>
          <w:p>
            <w:pPr>
              <w:spacing w:after="0"/>
              <w:rPr>
                <w:sz w:val="1"/>
                <w:szCs w:val="1"/>
                <w:color w:val="auto"/>
              </w:rPr>
            </w:pP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expenses from operations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415,556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444,944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451,296</w:t>
            </w:r>
          </w:p>
        </w:tc>
        <w:tc>
          <w:tcPr>
            <w:tcW w:w="0" w:type="dxa"/>
            <w:vAlign w:val="bottom"/>
          </w:tcPr>
          <w:p>
            <w:pPr>
              <w:spacing w:after="0"/>
              <w:rPr>
                <w:sz w:val="1"/>
                <w:szCs w:val="1"/>
                <w:color w:val="auto"/>
              </w:rPr>
            </w:pPr>
          </w:p>
        </w:tc>
      </w:tr>
      <w:tr>
        <w:trPr>
          <w:trHeight w:val="20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(59,509)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(73,601)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(74,873)</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9,785</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from foreign currency transactions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0" w:type="dxa"/>
            <w:vAlign w:val="bottom"/>
          </w:tcPr>
          <w:p>
            <w:pPr>
              <w:spacing w:after="0"/>
              <w:rPr>
                <w:sz w:val="1"/>
                <w:szCs w:val="1"/>
                <w:color w:val="auto"/>
              </w:rPr>
            </w:pPr>
          </w:p>
        </w:tc>
      </w:tr>
      <w:tr>
        <w:trPr>
          <w:trHeight w:val="20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(77,828)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(64,837)</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0" w:type="dxa"/>
            <w:vAlign w:val="bottom"/>
          </w:tcPr>
          <w:p>
            <w:pPr>
              <w:spacing w:after="0"/>
              <w:rPr>
                <w:sz w:val="1"/>
                <w:szCs w:val="1"/>
                <w:color w:val="auto"/>
              </w:rPr>
            </w:pPr>
          </w:p>
        </w:tc>
      </w:tr>
      <w:tr>
        <w:trPr>
          <w:trHeight w:val="212"/>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(60,248)</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(79,361)</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(66,561)</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available to common stockholders: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(60,248)</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(79,361)</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(66,561)</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Convertible redeemable preferred stock dividends </w:t>
            </w:r>
            <w:r>
              <w:rPr>
                <w:rFonts w:ascii="Times New Roman" w:cs="Times New Roman" w:eastAsia="Times New Roman" w:hAnsi="Times New Roman"/>
                <w:sz w:val="21"/>
                <w:szCs w:val="21"/>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(15,513)</w:t>
            </w:r>
          </w:p>
        </w:tc>
        <w:tc>
          <w:tcPr>
            <w:tcW w:w="0" w:type="dxa"/>
            <w:vAlign w:val="bottom"/>
          </w:tcPr>
          <w:p>
            <w:pPr>
              <w:spacing w:after="0"/>
              <w:rPr>
                <w:sz w:val="1"/>
                <w:szCs w:val="1"/>
                <w:color w:val="auto"/>
              </w:rPr>
            </w:pPr>
          </w:p>
        </w:tc>
      </w:tr>
      <w:tr>
        <w:trPr>
          <w:trHeight w:val="209"/>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loss available to common stockholders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(77,848)</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(95,631)</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(82,074)</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 xml:space="preserve">Net loss per common share </w:t>
            </w: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 and diluted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Weighted-average number of shares used in per share calculation - Common Stock </w:t>
            </w: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 and diluted</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5,014,049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4,811,233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4,634,178</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(60,248)</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(79,361)</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(66,561)</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Foreign currency cumulative translation adjustment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(3,842)</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(64,206)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(77,531)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(70,403)</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Transactions with related parties are included in the line items above as follows (refer to </w:t>
      </w:r>
      <w:r>
        <w:rPr>
          <w:rFonts w:ascii="Times New Roman" w:cs="Times New Roman" w:eastAsia="Times New Roman" w:hAnsi="Times New Roman"/>
          <w:sz w:val="16"/>
          <w:szCs w:val="16"/>
          <w:u w:val="single" w:color="auto"/>
          <w:color w:val="0000FF"/>
        </w:rPr>
        <w:t>Footnote 13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Related Party Transactions,</w:t>
      </w:r>
      <w:r>
        <w:rPr>
          <w:rFonts w:ascii="Times New Roman" w:cs="Times New Roman" w:eastAsia="Times New Roman" w:hAnsi="Times New Roman"/>
          <w:sz w:val="16"/>
          <w:szCs w:val="16"/>
          <w:color w:val="auto"/>
        </w:rPr>
        <w:t xml:space="preserve"> for further information):</w:t>
      </w:r>
    </w:p>
    <w:p>
      <w:pPr>
        <w:spacing w:after="0" w:line="26" w:lineRule="exact"/>
        <w:rPr>
          <w:rFonts w:ascii="Times New Roman" w:cs="Times New Roman" w:eastAsia="Times New Roman" w:hAnsi="Times New Roman"/>
          <w:sz w:val="21"/>
          <w:szCs w:val="21"/>
          <w:color w:val="auto"/>
          <w:vertAlign w:val="superscript"/>
        </w:rPr>
      </w:pPr>
    </w:p>
    <w:p>
      <w:pPr>
        <w:ind w:left="820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b w:val="1"/>
          <w:bCs w:val="1"/>
          <w:color w:val="auto"/>
        </w:rPr>
        <w:t>Years Ended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6"/>
                <w:szCs w:val="16"/>
                <w:color w:val="auto"/>
                <w:w w:val="99"/>
              </w:rPr>
              <w:t>10,217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6"/>
                <w:szCs w:val="16"/>
                <w:color w:val="auto"/>
                <w:w w:val="99"/>
              </w:rPr>
              <w:t>11,420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ind w:left="421"/>
              <w:spacing w:after="0"/>
              <w:rPr>
                <w:sz w:val="20"/>
                <w:szCs w:val="20"/>
                <w:color w:val="auto"/>
              </w:rPr>
            </w:pPr>
            <w:r>
              <w:rPr>
                <w:rFonts w:ascii="Times New Roman" w:cs="Times New Roman" w:eastAsia="Times New Roman" w:hAnsi="Times New Roman"/>
                <w:sz w:val="16"/>
                <w:szCs w:val="16"/>
                <w:color w:val="auto"/>
              </w:rPr>
              <w:t>14,934</w:t>
            </w: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340" w:type="dxa"/>
            <w:vAlign w:val="bottom"/>
          </w:tcPr>
          <w:p>
            <w:pPr>
              <w:spacing w:after="0"/>
              <w:rPr>
                <w:sz w:val="18"/>
                <w:szCs w:val="18"/>
                <w:color w:val="auto"/>
              </w:rPr>
            </w:pPr>
          </w:p>
        </w:tc>
        <w:tc>
          <w:tcPr>
            <w:tcW w:w="1080" w:type="dxa"/>
            <w:vAlign w:val="bottom"/>
          </w:tcPr>
          <w:p>
            <w:pPr>
              <w:jc w:val="center"/>
              <w:ind w:left="441"/>
              <w:spacing w:after="0"/>
              <w:rPr>
                <w:sz w:val="20"/>
                <w:szCs w:val="20"/>
                <w:color w:val="auto"/>
              </w:rPr>
            </w:pPr>
            <w:r>
              <w:rPr>
                <w:rFonts w:ascii="Times New Roman" w:cs="Times New Roman" w:eastAsia="Times New Roman" w:hAnsi="Times New Roman"/>
                <w:sz w:val="16"/>
                <w:szCs w:val="16"/>
                <w:color w:val="auto"/>
                <w:w w:val="99"/>
              </w:rPr>
              <w:t>30,450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center"/>
              <w:ind w:left="421"/>
              <w:spacing w:after="0"/>
              <w:rPr>
                <w:sz w:val="20"/>
                <w:szCs w:val="20"/>
                <w:color w:val="auto"/>
              </w:rPr>
            </w:pPr>
            <w:r>
              <w:rPr>
                <w:rFonts w:ascii="Times New Roman" w:cs="Times New Roman" w:eastAsia="Times New Roman" w:hAnsi="Times New Roman"/>
                <w:sz w:val="16"/>
                <w:szCs w:val="16"/>
                <w:color w:val="auto"/>
              </w:rPr>
              <w:t>29,265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center"/>
              <w:ind w:left="421"/>
              <w:spacing w:after="0"/>
              <w:rPr>
                <w:sz w:val="20"/>
                <w:szCs w:val="20"/>
                <w:color w:val="auto"/>
              </w:rPr>
            </w:pPr>
            <w:r>
              <w:rPr>
                <w:rFonts w:ascii="Times New Roman" w:cs="Times New Roman" w:eastAsia="Times New Roman" w:hAnsi="Times New Roman"/>
                <w:sz w:val="16"/>
                <w:szCs w:val="16"/>
                <w:color w:val="auto"/>
              </w:rPr>
              <w:t>26,971</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redeemable preferred stock dividends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01"/>
              <w:spacing w:after="0"/>
              <w:rPr>
                <w:sz w:val="20"/>
                <w:szCs w:val="20"/>
                <w:color w:val="auto"/>
              </w:rPr>
            </w:pPr>
            <w:r>
              <w:rPr>
                <w:rFonts w:ascii="Times New Roman" w:cs="Times New Roman" w:eastAsia="Times New Roman" w:hAnsi="Times New Roman"/>
                <w:sz w:val="16"/>
                <w:szCs w:val="16"/>
                <w:color w:val="auto"/>
              </w:rPr>
              <w:t>(17,600)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01"/>
              <w:spacing w:after="0"/>
              <w:rPr>
                <w:sz w:val="20"/>
                <w:szCs w:val="20"/>
                <w:color w:val="auto"/>
              </w:rPr>
            </w:pPr>
            <w:r>
              <w:rPr>
                <w:rFonts w:ascii="Times New Roman" w:cs="Times New Roman" w:eastAsia="Times New Roman" w:hAnsi="Times New Roman"/>
                <w:sz w:val="16"/>
                <w:szCs w:val="16"/>
                <w:color w:val="auto"/>
              </w:rPr>
              <w:t>(16,270)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01"/>
              <w:spacing w:after="0"/>
              <w:rPr>
                <w:sz w:val="20"/>
                <w:szCs w:val="20"/>
                <w:color w:val="auto"/>
              </w:rPr>
            </w:pPr>
            <w:r>
              <w:rPr>
                <w:rFonts w:ascii="Times New Roman" w:cs="Times New Roman" w:eastAsia="Times New Roman" w:hAnsi="Times New Roman"/>
                <w:sz w:val="16"/>
                <w:szCs w:val="16"/>
                <w:color w:val="auto"/>
              </w:rPr>
              <w:t>(15,513)</w:t>
            </w:r>
          </w:p>
        </w:tc>
      </w:tr>
    </w:tbl>
    <w:p>
      <w:pPr>
        <w:spacing w:after="0" w:line="46"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amortization of intangible assets, which is presented separately in the Consolidated Statements of Operations and Comprehensive Loss.</w:t>
      </w:r>
    </w:p>
    <w:p>
      <w:pPr>
        <w:ind w:left="180" w:hanging="172"/>
        <w:spacing w:after="0" w:line="191" w:lineRule="auto"/>
        <w:tabs>
          <w:tab w:leader="none" w:pos="18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Stock-based compensation expense is included in the line items above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Borders>
              <w:bottom w:val="single" w:sz="8" w:color="auto"/>
            </w:tcBorders>
          </w:tcPr>
          <w:p>
            <w:pPr>
              <w:spacing w:after="0"/>
              <w:rPr>
                <w:sz w:val="16"/>
                <w:szCs w:val="16"/>
                <w:color w:val="auto"/>
              </w:rPr>
            </w:pPr>
          </w:p>
        </w:tc>
      </w:tr>
      <w:tr>
        <w:trPr>
          <w:trHeight w:val="193"/>
        </w:trPr>
        <w:tc>
          <w:tcPr>
            <w:tcW w:w="68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marketing</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r>
      <w:tr>
        <w:trPr>
          <w:trHeight w:val="21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5,186</w:t>
            </w:r>
          </w:p>
        </w:tc>
      </w:tr>
      <w:tr>
        <w:trPr>
          <w:trHeight w:val="23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160" w:hanging="152"/>
        <w:spacing w:after="0"/>
        <w:tabs>
          <w:tab w:leader="none" w:pos="16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Adjusted retroactively for the Reverse Stock Split, refer to </w:t>
      </w:r>
      <w:r>
        <w:rPr>
          <w:rFonts w:ascii="Times New Roman" w:cs="Times New Roman" w:eastAsia="Times New Roman" w:hAnsi="Times New Roman"/>
          <w:sz w:val="15"/>
          <w:szCs w:val="15"/>
          <w:u w:val="single" w:color="auto"/>
          <w:color w:val="0000FF"/>
        </w:rPr>
        <w:t>Footnote 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Summary of Significant Accounting Policies</w:t>
      </w:r>
      <w:r>
        <w:rPr>
          <w:rFonts w:ascii="Times New Roman" w:cs="Times New Roman" w:eastAsia="Times New Roman" w:hAnsi="Times New Roman"/>
          <w:sz w:val="15"/>
          <w:szCs w:val="15"/>
          <w:color w:val="auto"/>
        </w:rPr>
        <w:t>.</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COMSCORE,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CONVERTIBLE REDEEMABLE PREFERRED STOCK AND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(DEFICIT)</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1760" w:type="dxa"/>
            <w:vAlign w:val="bottom"/>
            <w:tcBorders>
              <w:right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Convertible Redeemable</w:t>
            </w:r>
          </w:p>
        </w:tc>
        <w:tc>
          <w:tcPr>
            <w:tcW w:w="60" w:type="dxa"/>
            <w:vAlign w:val="bottom"/>
          </w:tcPr>
          <w:p>
            <w:pPr>
              <w:spacing w:after="0"/>
              <w:rPr>
                <w:sz w:val="13"/>
                <w:szCs w:val="13"/>
                <w:color w:val="auto"/>
              </w:rPr>
            </w:pPr>
          </w:p>
        </w:tc>
        <w:tc>
          <w:tcPr>
            <w:tcW w:w="168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 xml:space="preserve">Common Stock </w:t>
            </w:r>
            <w:r>
              <w:rPr>
                <w:rFonts w:ascii="Times New Roman" w:cs="Times New Roman" w:eastAsia="Times New Roman" w:hAnsi="Times New Roman"/>
                <w:sz w:val="18"/>
                <w:szCs w:val="18"/>
                <w:b w:val="1"/>
                <w:bCs w:val="1"/>
                <w:color w:val="auto"/>
                <w:vertAlign w:val="superscript"/>
              </w:rPr>
              <w:t>(2)</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760" w:type="dxa"/>
            <w:vAlign w:val="bottom"/>
            <w:tcBorders>
              <w:right w:val="single" w:sz="8" w:color="auto"/>
            </w:tcBorders>
            <w:gridSpan w:val="5"/>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60" w:type="dxa"/>
            <w:vAlign w:val="bottom"/>
          </w:tcPr>
          <w:p>
            <w:pPr>
              <w:spacing w:after="0"/>
              <w:rPr>
                <w:sz w:val="11"/>
                <w:szCs w:val="11"/>
                <w:color w:val="auto"/>
              </w:rPr>
            </w:pPr>
          </w:p>
        </w:tc>
        <w:tc>
          <w:tcPr>
            <w:tcW w:w="1680" w:type="dxa"/>
            <w:vAlign w:val="bottom"/>
            <w:gridSpan w:val="5"/>
            <w:vMerge w:val="continue"/>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02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5"/>
                <w:szCs w:val="5"/>
                <w:color w:val="auto"/>
              </w:rPr>
            </w:pPr>
          </w:p>
        </w:tc>
        <w:tc>
          <w:tcPr>
            <w:tcW w:w="880" w:type="dxa"/>
            <w:vAlign w:val="bottom"/>
            <w:gridSpan w:val="2"/>
            <w:vMerge w:val="restart"/>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gridSpan w:val="2"/>
            <w:vMerge w:val="restart"/>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880" w:type="dxa"/>
            <w:vAlign w:val="bottom"/>
            <w:gridSpan w:val="2"/>
            <w:vMerge w:val="restart"/>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30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6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2"/>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74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302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right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9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Capital </w:t>
            </w:r>
            <w:r>
              <w:rPr>
                <w:rFonts w:ascii="Times New Roman" w:cs="Times New Roman" w:eastAsia="Times New Roman" w:hAnsi="Times New Roman"/>
                <w:sz w:val="18"/>
                <w:szCs w:val="18"/>
                <w:b w:val="1"/>
                <w:bCs w:val="1"/>
                <w:color w:val="auto"/>
                <w:w w:val="96"/>
                <w:vertAlign w:val="superscript"/>
              </w:rPr>
              <w:t>(2)</w:t>
            </w:r>
          </w:p>
        </w:tc>
        <w:tc>
          <w:tcPr>
            <w:tcW w:w="20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40" w:type="dxa"/>
            <w:vAlign w:val="bottom"/>
          </w:tcPr>
          <w:p>
            <w:pPr>
              <w:spacing w:after="0"/>
              <w:rPr>
                <w:sz w:val="17"/>
                <w:szCs w:val="17"/>
                <w:color w:val="auto"/>
              </w:rPr>
            </w:pPr>
          </w:p>
        </w:tc>
        <w:tc>
          <w:tcPr>
            <w:tcW w:w="7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82,527,609</w:t>
            </w: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187,885</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4,520,364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$1,683,969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(12,098)</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$(1,218,715)</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 (229,984)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223,177</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(66,561)</w:t>
            </w:r>
          </w:p>
        </w:tc>
        <w:tc>
          <w:tcPr>
            <w:tcW w:w="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(66,561)</w:t>
            </w: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Convertible redeemable preferred stock</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(15,513)</w:t>
            </w:r>
          </w:p>
        </w:tc>
        <w:tc>
          <w:tcPr>
            <w:tcW w:w="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(15,513)</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dividends </w:t>
            </w:r>
            <w:r>
              <w:rPr>
                <w:rFonts w:ascii="Times New Roman" w:cs="Times New Roman" w:eastAsia="Times New Roman" w:hAnsi="Times New Roman"/>
                <w:sz w:val="21"/>
                <w:szCs w:val="21"/>
                <w:color w:val="auto"/>
                <w:vertAlign w:val="superscript"/>
              </w:rPr>
              <w:t>(1)</w:t>
            </w: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(3,842)</w:t>
            </w:r>
          </w:p>
        </w:tc>
        <w:tc>
          <w:tcPr>
            <w:tcW w:w="8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(3,842)</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Common Stock options, net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 distributed</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Payments for taxes related to net share</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of equity awards</w:t>
            </w: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stock-based compensation</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0" w:type="dxa"/>
            <w:vAlign w:val="bottom"/>
          </w:tcPr>
          <w:p>
            <w:pPr>
              <w:spacing w:after="0"/>
              <w:rPr>
                <w:sz w:val="1"/>
                <w:szCs w:val="1"/>
                <w:color w:val="auto"/>
              </w:rPr>
            </w:pPr>
          </w:p>
        </w:tc>
      </w:tr>
      <w:tr>
        <w:trPr>
          <w:trHeight w:val="207"/>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82,527,609</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187,885</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4,605,247</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$1,690,870</w:t>
            </w:r>
          </w:p>
        </w:tc>
        <w:tc>
          <w:tcPr>
            <w:tcW w:w="80" w:type="dxa"/>
            <w:vAlign w:val="bottom"/>
          </w:tcPr>
          <w:p>
            <w:pPr>
              <w:spacing w:after="0"/>
              <w:rPr>
                <w:sz w:val="17"/>
                <w:szCs w:val="17"/>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(15,940)</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$(1,300,789)</w:t>
            </w:r>
          </w:p>
        </w:tc>
        <w:tc>
          <w:tcPr>
            <w:tcW w:w="80" w:type="dxa"/>
            <w:vAlign w:val="bottom"/>
          </w:tcPr>
          <w:p>
            <w:pPr>
              <w:spacing w:after="0"/>
              <w:rPr>
                <w:sz w:val="17"/>
                <w:szCs w:val="17"/>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 (229,984)</w:t>
            </w:r>
          </w:p>
        </w:tc>
        <w:tc>
          <w:tcPr>
            <w:tcW w:w="80" w:type="dxa"/>
            <w:vAlign w:val="bottom"/>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144,162</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(79,361)</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(79,361)</w:t>
            </w:r>
          </w:p>
        </w:tc>
        <w:tc>
          <w:tcPr>
            <w:tcW w:w="0" w:type="dxa"/>
            <w:vAlign w:val="bottom"/>
          </w:tcPr>
          <w:p>
            <w:pPr>
              <w:spacing w:after="0"/>
              <w:rPr>
                <w:sz w:val="1"/>
                <w:szCs w:val="1"/>
                <w:color w:val="auto"/>
              </w:rPr>
            </w:pPr>
          </w:p>
        </w:tc>
      </w:tr>
      <w:tr>
        <w:trPr>
          <w:trHeight w:val="162"/>
        </w:trPr>
        <w:tc>
          <w:tcPr>
            <w:tcW w:w="30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Convertible redeemable preferred stock</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(16,270)</w:t>
            </w:r>
          </w:p>
        </w:tc>
        <w:tc>
          <w:tcPr>
            <w:tcW w:w="8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(16,270)</w:t>
            </w: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dividends </w:t>
            </w:r>
            <w:r>
              <w:rPr>
                <w:rFonts w:ascii="Times New Roman" w:cs="Times New Roman" w:eastAsia="Times New Roman" w:hAnsi="Times New Roman"/>
                <w:sz w:val="21"/>
                <w:szCs w:val="21"/>
                <w:color w:val="auto"/>
                <w:vertAlign w:val="superscript"/>
              </w:rPr>
              <w:t>(1)</w:t>
            </w: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0" w:type="dxa"/>
            <w:vAlign w:val="bottom"/>
          </w:tcPr>
          <w:p>
            <w:pPr>
              <w:spacing w:after="0"/>
              <w:rPr>
                <w:sz w:val="1"/>
                <w:szCs w:val="1"/>
                <w:color w:val="auto"/>
              </w:rPr>
            </w:pPr>
          </w:p>
        </w:tc>
      </w:tr>
      <w:tr>
        <w:trPr>
          <w:trHeight w:val="214"/>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Common Stock options, net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 distributed</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62"/>
        </w:trPr>
        <w:tc>
          <w:tcPr>
            <w:tcW w:w="30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Payments for taxes related to net share</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equity awards</w:t>
            </w: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of restricted stock unit liability</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stock-based compensation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0" w:type="dxa"/>
            <w:vAlign w:val="bottom"/>
          </w:tcPr>
          <w:p>
            <w:pPr>
              <w:spacing w:after="0"/>
              <w:rPr>
                <w:sz w:val="1"/>
                <w:szCs w:val="1"/>
                <w:color w:val="auto"/>
              </w:rPr>
            </w:pPr>
          </w:p>
        </w:tc>
      </w:tr>
      <w:tr>
        <w:trPr>
          <w:trHeight w:val="212"/>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82,527,609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187,885</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4,755,141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$1,696,612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(14,110)</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$(1,396,420)</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 (229,984)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56,103</w:t>
            </w:r>
          </w:p>
        </w:tc>
        <w:tc>
          <w:tcPr>
            <w:tcW w:w="0" w:type="dxa"/>
            <w:vAlign w:val="bottom"/>
          </w:tcPr>
          <w:p>
            <w:pPr>
              <w:spacing w:after="0"/>
              <w:rPr>
                <w:sz w:val="1"/>
                <w:szCs w:val="1"/>
                <w:color w:val="auto"/>
              </w:rPr>
            </w:pPr>
          </w:p>
        </w:tc>
      </w:tr>
      <w:tr>
        <w:trPr>
          <w:trHeight w:val="214"/>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(60,248)</w:t>
            </w:r>
          </w:p>
        </w:tc>
        <w:tc>
          <w:tcPr>
            <w:tcW w:w="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(60,248)</w:t>
            </w:r>
          </w:p>
        </w:tc>
        <w:tc>
          <w:tcPr>
            <w:tcW w:w="0" w:type="dxa"/>
            <w:vAlign w:val="bottom"/>
          </w:tcPr>
          <w:p>
            <w:pPr>
              <w:spacing w:after="0"/>
              <w:rPr>
                <w:sz w:val="1"/>
                <w:szCs w:val="1"/>
                <w:color w:val="auto"/>
              </w:rPr>
            </w:pPr>
          </w:p>
        </w:tc>
      </w:tr>
      <w:tr>
        <w:trPr>
          <w:trHeight w:val="164"/>
        </w:trPr>
        <w:tc>
          <w:tcPr>
            <w:tcW w:w="30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Convertible redeemable preferred stock, net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13,257,294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19,585</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13,017</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of issuance costs </w:t>
            </w:r>
            <w:r>
              <w:rPr>
                <w:rFonts w:ascii="Times New Roman" w:cs="Times New Roman" w:eastAsia="Times New Roman" w:hAnsi="Times New Roman"/>
                <w:sz w:val="21"/>
                <w:szCs w:val="21"/>
                <w:color w:val="auto"/>
                <w:vertAlign w:val="superscript"/>
              </w:rPr>
              <w:t>(1)</w:t>
            </w: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Convertible redeemable preferred stock</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(17,600)</w:t>
            </w:r>
          </w:p>
        </w:tc>
        <w:tc>
          <w:tcPr>
            <w:tcW w:w="8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(17,600)</w:t>
            </w: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dividends </w:t>
            </w:r>
            <w:r>
              <w:rPr>
                <w:rFonts w:ascii="Times New Roman" w:cs="Times New Roman" w:eastAsia="Times New Roman" w:hAnsi="Times New Roman"/>
                <w:sz w:val="21"/>
                <w:szCs w:val="21"/>
                <w:color w:val="auto"/>
                <w:vertAlign w:val="superscript"/>
              </w:rPr>
              <w:t>(1)</w:t>
            </w: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(3,958)</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(3,958)</w:t>
            </w:r>
          </w:p>
        </w:tc>
        <w:tc>
          <w:tcPr>
            <w:tcW w:w="0" w:type="dxa"/>
            <w:vAlign w:val="bottom"/>
          </w:tcPr>
          <w:p>
            <w:pPr>
              <w:spacing w:after="0"/>
              <w:rPr>
                <w:sz w:val="1"/>
                <w:szCs w:val="1"/>
                <w:color w:val="auto"/>
              </w:rPr>
            </w:pPr>
          </w:p>
        </w:tc>
      </w:tr>
      <w:tr>
        <w:trPr>
          <w:trHeight w:val="214"/>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Common Stock options, net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 distributed</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0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Payments for taxes related to net share</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equity awards</w:t>
            </w: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of restricted stock unit liability</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0" w:type="dxa"/>
            <w:vAlign w:val="bottom"/>
          </w:tcPr>
          <w:p>
            <w:pPr>
              <w:spacing w:after="0"/>
              <w:rPr>
                <w:sz w:val="1"/>
                <w:szCs w:val="1"/>
                <w:color w:val="auto"/>
              </w:rPr>
            </w:pPr>
          </w:p>
        </w:tc>
      </w:tr>
      <w:tr>
        <w:trPr>
          <w:trHeight w:val="214"/>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stock-based compensation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95,784,903</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207,470</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4,890,575</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1,714,052</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(18,068)</w:t>
            </w:r>
          </w:p>
        </w:tc>
        <w:tc>
          <w:tcPr>
            <w:tcW w:w="8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(1,474,268)</w:t>
            </w:r>
          </w:p>
        </w:tc>
        <w:tc>
          <w:tcPr>
            <w:tcW w:w="8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 (229,984)</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(8,263)</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firstLine="8"/>
        <w:spacing w:after="0" w:line="232" w:lineRule="auto"/>
        <w:tabs>
          <w:tab w:leader="none" w:pos="173"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Transactions for these line items were exclusively with related parties (refer to </w:t>
      </w:r>
      <w:r>
        <w:rPr>
          <w:rFonts w:ascii="Times New Roman" w:cs="Times New Roman" w:eastAsia="Times New Roman" w:hAnsi="Times New Roman"/>
          <w:sz w:val="16"/>
          <w:szCs w:val="16"/>
          <w:u w:val="single" w:color="auto"/>
          <w:color w:val="0000FF"/>
        </w:rPr>
        <w:t>Footnote 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Convertible Redeemable Preferred Stock and Stockholders' Equity (Deficit),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0000FF"/>
        </w:rPr>
        <w:t>Footnote 13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Related Party Transactions,</w:t>
      </w:r>
      <w:r>
        <w:rPr>
          <w:rFonts w:ascii="Times New Roman" w:cs="Times New Roman" w:eastAsia="Times New Roman" w:hAnsi="Times New Roman"/>
          <w:sz w:val="16"/>
          <w:szCs w:val="16"/>
          <w:color w:val="auto"/>
        </w:rPr>
        <w:t xml:space="preserve"> of the Notes to Consolidated Financial Statements for additional information).</w:t>
      </w:r>
    </w:p>
    <w:p>
      <w:pPr>
        <w:ind w:left="160" w:hanging="152"/>
        <w:spacing w:after="0" w:line="211" w:lineRule="auto"/>
        <w:tabs>
          <w:tab w:leader="none" w:pos="16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Adjusted retroactively for the Reverse Stock Split, refer to </w:t>
      </w:r>
      <w:r>
        <w:rPr>
          <w:rFonts w:ascii="Times New Roman" w:cs="Times New Roman" w:eastAsia="Times New Roman" w:hAnsi="Times New Roman"/>
          <w:sz w:val="15"/>
          <w:szCs w:val="15"/>
          <w:u w:val="single" w:color="auto"/>
          <w:color w:val="0000FF"/>
        </w:rPr>
        <w:t>Footnote 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Summary of Significant Accounting Policies</w:t>
      </w:r>
      <w:r>
        <w:rPr>
          <w:rFonts w:ascii="Times New Roman" w:cs="Times New Roman" w:eastAsia="Times New Roman" w:hAnsi="Times New Roman"/>
          <w:sz w:val="15"/>
          <w:szCs w:val="15"/>
          <w:color w:val="auto"/>
        </w:rPr>
        <w:t>.</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COMSCORE,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6"/>
          </w:tcPr>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0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r>
              <w:rPr>
                <w:rFonts w:ascii="Times New Roman" w:cs="Times New Roman" w:eastAsia="Times New Roman" w:hAnsi="Times New Roman"/>
                <w:sz w:val="16"/>
                <w:szCs w:val="16"/>
                <w:color w:val="auto"/>
              </w:rPr>
              <w:t>:</w:t>
            </w:r>
          </w:p>
        </w:tc>
        <w:tc>
          <w:tcPr>
            <w:tcW w:w="1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(60,248)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(79,361)</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(66,561)</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goodwill</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46,300</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16,828</w:t>
            </w:r>
          </w:p>
        </w:tc>
        <w:tc>
          <w:tcPr>
            <w:tcW w:w="0" w:type="dxa"/>
            <w:vAlign w:val="bottom"/>
          </w:tcPr>
          <w:p>
            <w:pPr>
              <w:spacing w:after="0"/>
              <w:rPr>
                <w:sz w:val="1"/>
                <w:szCs w:val="1"/>
                <w:color w:val="auto"/>
              </w:rPr>
            </w:pPr>
          </w:p>
        </w:tc>
      </w:tr>
      <w:tr>
        <w:trPr>
          <w:trHeight w:val="213"/>
        </w:trPr>
        <w:tc>
          <w:tcPr>
            <w:tcW w:w="5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6,060</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expense of finance leases</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w:t>
            </w:r>
          </w:p>
        </w:tc>
        <w:tc>
          <w:tcPr>
            <w:tcW w:w="0" w:type="dxa"/>
            <w:vAlign w:val="bottom"/>
          </w:tcPr>
          <w:p>
            <w:pPr>
              <w:spacing w:after="0"/>
              <w:rPr>
                <w:sz w:val="1"/>
                <w:szCs w:val="1"/>
                <w:color w:val="auto"/>
              </w:rPr>
            </w:pPr>
          </w:p>
        </w:tc>
      </w:tr>
      <w:tr>
        <w:trPr>
          <w:trHeight w:val="213"/>
        </w:trPr>
        <w:tc>
          <w:tcPr>
            <w:tcW w:w="5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8,178</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27,096</w:t>
            </w:r>
          </w:p>
        </w:tc>
        <w:tc>
          <w:tcPr>
            <w:tcW w:w="0" w:type="dxa"/>
            <w:vAlign w:val="bottom"/>
          </w:tcPr>
          <w:p>
            <w:pPr>
              <w:spacing w:after="0"/>
              <w:rPr>
                <w:sz w:val="1"/>
                <w:szCs w:val="1"/>
                <w:color w:val="auto"/>
              </w:rPr>
            </w:pPr>
          </w:p>
        </w:tc>
      </w:tr>
      <w:tr>
        <w:trPr>
          <w:trHeight w:val="213"/>
        </w:trPr>
        <w:tc>
          <w:tcPr>
            <w:tcW w:w="5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right-of-use and long-lived assets</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(9,802)</w:t>
            </w:r>
          </w:p>
        </w:tc>
        <w:tc>
          <w:tcPr>
            <w:tcW w:w="0" w:type="dxa"/>
            <w:vAlign w:val="bottom"/>
          </w:tcPr>
          <w:p>
            <w:pPr>
              <w:spacing w:after="0"/>
              <w:rPr>
                <w:sz w:val="1"/>
                <w:szCs w:val="1"/>
                <w:color w:val="auto"/>
              </w:rPr>
            </w:pPr>
          </w:p>
        </w:tc>
      </w:tr>
      <w:tr>
        <w:trPr>
          <w:trHeight w:val="213"/>
        </w:trPr>
        <w:tc>
          <w:tcPr>
            <w:tcW w:w="5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tax provision</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4,468</w:t>
            </w:r>
          </w:p>
        </w:tc>
        <w:tc>
          <w:tcPr>
            <w:tcW w:w="0" w:type="dxa"/>
            <w:vAlign w:val="bottom"/>
          </w:tcPr>
          <w:p>
            <w:pPr>
              <w:spacing w:after="0"/>
              <w:rPr>
                <w:sz w:val="1"/>
                <w:szCs w:val="1"/>
                <w:color w:val="auto"/>
              </w:rPr>
            </w:pPr>
          </w:p>
        </w:tc>
      </w:tr>
      <w:tr>
        <w:trPr>
          <w:trHeight w:val="213"/>
        </w:trPr>
        <w:tc>
          <w:tcPr>
            <w:tcW w:w="5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w:t>
            </w:r>
          </w:p>
        </w:tc>
        <w:tc>
          <w:tcPr>
            <w:tcW w:w="0" w:type="dxa"/>
            <w:vAlign w:val="bottom"/>
          </w:tcPr>
          <w:p>
            <w:pPr>
              <w:spacing w:after="0"/>
              <w:rPr>
                <w:sz w:val="1"/>
                <w:szCs w:val="1"/>
                <w:color w:val="auto"/>
              </w:rPr>
            </w:pPr>
          </w:p>
        </w:tc>
      </w:tr>
      <w:tr>
        <w:trPr>
          <w:trHeight w:val="213"/>
        </w:trPr>
        <w:tc>
          <w:tcPr>
            <w:tcW w:w="53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7,396</w:t>
            </w:r>
          </w:p>
        </w:tc>
        <w:tc>
          <w:tcPr>
            <w:tcW w:w="0" w:type="dxa"/>
            <w:vAlign w:val="bottom"/>
          </w:tcPr>
          <w:p>
            <w:pPr>
              <w:spacing w:after="0"/>
              <w:rPr>
                <w:sz w:val="1"/>
                <w:szCs w:val="1"/>
                <w:color w:val="auto"/>
              </w:rPr>
            </w:pPr>
          </w:p>
        </w:tc>
      </w:tr>
      <w:tr>
        <w:trPr>
          <w:trHeight w:val="213"/>
        </w:trPr>
        <w:tc>
          <w:tcPr>
            <w:tcW w:w="53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Contract liability and customer advances</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5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(7,275)</w:t>
            </w:r>
          </w:p>
        </w:tc>
        <w:tc>
          <w:tcPr>
            <w:tcW w:w="0" w:type="dxa"/>
            <w:vAlign w:val="bottom"/>
          </w:tcPr>
          <w:p>
            <w:pPr>
              <w:spacing w:after="0"/>
              <w:rPr>
                <w:sz w:val="1"/>
                <w:szCs w:val="1"/>
                <w:color w:val="auto"/>
              </w:rPr>
            </w:pPr>
          </w:p>
        </w:tc>
      </w:tr>
      <w:tr>
        <w:trPr>
          <w:trHeight w:val="20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34,937</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r>
              <w:rPr>
                <w:rFonts w:ascii="Times New Roman" w:cs="Times New Roman" w:eastAsia="Times New Roman" w:hAnsi="Times New Roman"/>
                <w:sz w:val="16"/>
                <w:szCs w:val="16"/>
                <w:color w:val="auto"/>
              </w:rPr>
              <w:t>:</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internal-use software costs</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(16,685)</w:t>
            </w:r>
          </w:p>
        </w:tc>
        <w:tc>
          <w:tcPr>
            <w:tcW w:w="0" w:type="dxa"/>
            <w:vAlign w:val="bottom"/>
          </w:tcPr>
          <w:p>
            <w:pPr>
              <w:spacing w:after="0"/>
              <w:rPr>
                <w:sz w:val="1"/>
                <w:szCs w:val="1"/>
                <w:color w:val="auto"/>
              </w:rPr>
            </w:pPr>
          </w:p>
        </w:tc>
      </w:tr>
      <w:tr>
        <w:trPr>
          <w:trHeight w:val="213"/>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5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(17,822)</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r>
              <w:rPr>
                <w:rFonts w:ascii="Times New Roman" w:cs="Times New Roman" w:eastAsia="Times New Roman" w:hAnsi="Times New Roman"/>
                <w:sz w:val="16"/>
                <w:szCs w:val="16"/>
                <w:color w:val="auto"/>
              </w:rPr>
              <w:t>:</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secured term loan</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insurance financing</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Payments for dividends on convertible redeemable preferred stock </w:t>
            </w:r>
            <w:r>
              <w:rPr>
                <w:rFonts w:ascii="Times New Roman" w:cs="Times New Roman" w:eastAsia="Times New Roman" w:hAnsi="Times New Roman"/>
                <w:sz w:val="21"/>
                <w:szCs w:val="21"/>
                <w:color w:val="auto"/>
                <w:vertAlign w:val="superscript"/>
              </w:rPr>
              <w:t>(1)</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payments on insurance financing</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payments on finance leases</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w:t>
            </w:r>
          </w:p>
        </w:tc>
        <w:tc>
          <w:tcPr>
            <w:tcW w:w="0" w:type="dxa"/>
            <w:vAlign w:val="bottom"/>
          </w:tcPr>
          <w:p>
            <w:pPr>
              <w:spacing w:after="0"/>
              <w:rPr>
                <w:sz w:val="1"/>
                <w:szCs w:val="1"/>
                <w:color w:val="auto"/>
              </w:rPr>
            </w:pPr>
          </w:p>
        </w:tc>
      </w:tr>
      <w:tr>
        <w:trPr>
          <w:trHeight w:val="23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 payment at initial value</w:t>
            </w:r>
          </w:p>
        </w:tc>
        <w:tc>
          <w:tcPr>
            <w:tcW w:w="1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of line of credit</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5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(18,132)</w:t>
            </w:r>
          </w:p>
        </w:tc>
        <w:tc>
          <w:tcPr>
            <w:tcW w:w="0" w:type="dxa"/>
            <w:vAlign w:val="bottom"/>
          </w:tcPr>
          <w:p>
            <w:pPr>
              <w:spacing w:after="0"/>
              <w:rPr>
                <w:sz w:val="1"/>
                <w:szCs w:val="1"/>
                <w:color w:val="auto"/>
              </w:rPr>
            </w:pPr>
          </w:p>
        </w:tc>
      </w:tr>
      <w:tr>
        <w:trPr>
          <w:trHeight w:val="213"/>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5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0" w:type="dxa"/>
            <w:vAlign w:val="bottom"/>
          </w:tcPr>
          <w:p>
            <w:pPr>
              <w:spacing w:after="0"/>
              <w:rPr>
                <w:sz w:val="1"/>
                <w:szCs w:val="1"/>
                <w:color w:val="auto"/>
              </w:rPr>
            </w:pPr>
          </w:p>
        </w:tc>
      </w:tr>
      <w:tr>
        <w:trPr>
          <w:trHeight w:val="213"/>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5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22,936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20,442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22,279</w:t>
            </w:r>
          </w:p>
        </w:tc>
        <w:tc>
          <w:tcPr>
            <w:tcW w:w="0" w:type="dxa"/>
            <w:vAlign w:val="bottom"/>
          </w:tcPr>
          <w:p>
            <w:pPr>
              <w:spacing w:after="0"/>
              <w:rPr>
                <w:sz w:val="1"/>
                <w:szCs w:val="1"/>
                <w:color w:val="auto"/>
              </w:rPr>
            </w:pPr>
          </w:p>
        </w:tc>
      </w:tr>
      <w:tr>
        <w:trPr>
          <w:trHeight w:val="237"/>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5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20,442</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3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0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20,044</w:t>
            </w:r>
          </w:p>
        </w:tc>
        <w:tc>
          <w:tcPr>
            <w:tcW w:w="0" w:type="dxa"/>
            <w:vAlign w:val="bottom"/>
          </w:tcPr>
          <w:p>
            <w:pPr>
              <w:spacing w:after="0"/>
              <w:rPr>
                <w:sz w:val="1"/>
                <w:szCs w:val="1"/>
                <w:color w:val="auto"/>
              </w:rPr>
            </w:pPr>
          </w:p>
        </w:tc>
      </w:tr>
      <w:tr>
        <w:trPr>
          <w:trHeight w:val="213"/>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5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37"/>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5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20,442</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ind w:right="1015"/>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3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6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r>
      <w:tr>
        <w:trPr>
          <w:trHeight w:val="23"/>
        </w:trPr>
        <w:tc>
          <w:tcPr>
            <w:tcW w:w="68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8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6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paid</w:t>
            </w:r>
          </w:p>
        </w:tc>
        <w:tc>
          <w:tcPr>
            <w:tcW w:w="880" w:type="dxa"/>
            <w:vAlign w:val="bottom"/>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4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r>
      <w:tr>
        <w:trPr>
          <w:trHeight w:val="219"/>
        </w:trPr>
        <w:tc>
          <w:tcPr>
            <w:tcW w:w="6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w:t>
            </w:r>
          </w:p>
        </w:tc>
      </w:tr>
      <w:tr>
        <w:trPr>
          <w:trHeight w:val="213"/>
        </w:trPr>
        <w:tc>
          <w:tcPr>
            <w:tcW w:w="6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10,364</w:t>
            </w:r>
          </w:p>
        </w:tc>
      </w:tr>
      <w:tr>
        <w:trPr>
          <w:trHeight w:val="219"/>
        </w:trPr>
        <w:tc>
          <w:tcPr>
            <w:tcW w:w="6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r>
      <w:tr>
        <w:trPr>
          <w:trHeight w:val="216"/>
        </w:trPr>
        <w:tc>
          <w:tcPr>
            <w:tcW w:w="6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non-cash activities</w:t>
            </w: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820" w:type="dxa"/>
            <w:vAlign w:val="bottom"/>
          </w:tcPr>
          <w:p>
            <w:pPr>
              <w:ind w:left="40"/>
              <w:spacing w:after="0" w:line="216" w:lineRule="exact"/>
              <w:rPr>
                <w:sz w:val="20"/>
                <w:szCs w:val="20"/>
                <w:color w:val="auto"/>
              </w:rPr>
            </w:pPr>
            <w:r>
              <w:rPr>
                <w:rFonts w:ascii="Times New Roman" w:cs="Times New Roman" w:eastAsia="Times New Roman" w:hAnsi="Times New Roman"/>
                <w:sz w:val="16"/>
                <w:szCs w:val="16"/>
                <w:color w:val="auto"/>
              </w:rPr>
              <w:t xml:space="preserve">Issuance of convertible redeemable preferred stock (related parties) </w:t>
            </w:r>
            <w:r>
              <w:rPr>
                <w:rFonts w:ascii="Times New Roman" w:cs="Times New Roman" w:eastAsia="Times New Roman" w:hAnsi="Times New Roman"/>
                <w:sz w:val="21"/>
                <w:szCs w:val="21"/>
                <w:color w:val="auto"/>
                <w:vertAlign w:val="superscript"/>
              </w:rPr>
              <w:t>(1) (2)</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820" w:type="dxa"/>
            <w:vAlign w:val="bottom"/>
            <w:shd w:val="clear" w:color="auto" w:fill="CCEEFF"/>
          </w:tcPr>
          <w:p>
            <w:pPr>
              <w:ind w:left="40"/>
              <w:spacing w:after="0" w:line="216" w:lineRule="exact"/>
              <w:rPr>
                <w:sz w:val="20"/>
                <w:szCs w:val="20"/>
                <w:color w:val="auto"/>
              </w:rPr>
            </w:pPr>
            <w:r>
              <w:rPr>
                <w:rFonts w:ascii="Times New Roman" w:cs="Times New Roman" w:eastAsia="Times New Roman" w:hAnsi="Times New Roman"/>
                <w:sz w:val="16"/>
                <w:szCs w:val="16"/>
                <w:color w:val="auto"/>
              </w:rPr>
              <w:t xml:space="preserve">Convertible redeemable preferred stock dividends accrued but not yet paid </w:t>
            </w:r>
            <w:r>
              <w:rPr>
                <w:rFonts w:ascii="Times New Roman" w:cs="Times New Roman" w:eastAsia="Times New Roman" w:hAnsi="Times New Roman"/>
                <w:sz w:val="21"/>
                <w:szCs w:val="21"/>
                <w:color w:val="auto"/>
                <w:vertAlign w:val="superscript"/>
              </w:rPr>
              <w:t>(1)</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7,863</w:t>
            </w:r>
          </w:p>
        </w:tc>
      </w:tr>
      <w:tr>
        <w:trPr>
          <w:trHeight w:val="213"/>
        </w:trPr>
        <w:tc>
          <w:tcPr>
            <w:tcW w:w="6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Right-of-use assets obtained in exchange for finance lease liabilities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w:t>
            </w:r>
          </w:p>
        </w:tc>
      </w:tr>
      <w:tr>
        <w:trPr>
          <w:trHeight w:val="219"/>
        </w:trPr>
        <w:tc>
          <w:tcPr>
            <w:tcW w:w="6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Settlement of restricted stock unit liability</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w:t>
            </w:r>
          </w:p>
        </w:tc>
      </w:tr>
      <w:tr>
        <w:trPr>
          <w:trHeight w:val="213"/>
        </w:trPr>
        <w:tc>
          <w:tcPr>
            <w:tcW w:w="6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Modification of operating right-of-use assets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 in accounts payable and accrued expenses related to capital expenditures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w:t>
            </w:r>
          </w:p>
        </w:tc>
      </w:tr>
      <w:tr>
        <w:trPr>
          <w:trHeight w:val="229"/>
        </w:trPr>
        <w:tc>
          <w:tcPr>
            <w:tcW w:w="6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Accrued debt issuance costs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liabilities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r>
    </w:tbl>
    <w:p>
      <w:pPr>
        <w:spacing w:after="0" w:line="79" w:lineRule="exact"/>
        <w:rPr>
          <w:sz w:val="20"/>
          <w:szCs w:val="20"/>
          <w:color w:val="auto"/>
        </w:rPr>
      </w:pPr>
    </w:p>
    <w:p>
      <w:pPr>
        <w:ind w:firstLine="8"/>
        <w:spacing w:after="0" w:line="226" w:lineRule="auto"/>
        <w:tabs>
          <w:tab w:leader="none" w:pos="173"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Transactions for these line items were exclusively with related parties (refer to </w:t>
      </w:r>
      <w:r>
        <w:rPr>
          <w:rFonts w:ascii="Times New Roman" w:cs="Times New Roman" w:eastAsia="Times New Roman" w:hAnsi="Times New Roman"/>
          <w:sz w:val="16"/>
          <w:szCs w:val="16"/>
          <w:u w:val="single" w:color="auto"/>
          <w:color w:val="0000FF"/>
        </w:rPr>
        <w:t>Footnote 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Convertible Redeemable Preferred Stock and Stockholders' Equity (Deficit),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0000FF"/>
        </w:rPr>
        <w:t>Footnote 13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Related Party Transactions,</w:t>
      </w:r>
      <w:r>
        <w:rPr>
          <w:rFonts w:ascii="Times New Roman" w:cs="Times New Roman" w:eastAsia="Times New Roman" w:hAnsi="Times New Roman"/>
          <w:sz w:val="16"/>
          <w:szCs w:val="16"/>
          <w:color w:val="auto"/>
        </w:rPr>
        <w:t xml:space="preserve"> of the Notes to Consolidated Financial Statements for additional information).</w:t>
      </w:r>
    </w:p>
    <w:p>
      <w:pPr>
        <w:jc w:val="both"/>
        <w:ind w:firstLine="8"/>
        <w:spacing w:after="0" w:line="233" w:lineRule="auto"/>
        <w:tabs>
          <w:tab w:leader="none" w:pos="175"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The convertible redeemable preferred stock issued in 2024 was initially recognized at fair value. The Company recorded the initial fair value, net of issuance costs, of $19.6 million within mezzanine equity and the remaining $13.0 million within additional paid-in capital on the Consolidated Balance Sheets. Refer to </w:t>
      </w:r>
      <w:r>
        <w:rPr>
          <w:rFonts w:ascii="Times New Roman" w:cs="Times New Roman" w:eastAsia="Times New Roman" w:hAnsi="Times New Roman"/>
          <w:sz w:val="16"/>
          <w:szCs w:val="16"/>
          <w:u w:val="single" w:color="auto"/>
          <w:color w:val="0000FF"/>
        </w:rPr>
        <w:t>Footnote 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Convertible Redeemable Preferred Stock and Stockholders' Equity (Deficit), </w:t>
      </w:r>
      <w:r>
        <w:rPr>
          <w:rFonts w:ascii="Times New Roman" w:cs="Times New Roman" w:eastAsia="Times New Roman" w:hAnsi="Times New Roman"/>
          <w:sz w:val="16"/>
          <w:szCs w:val="16"/>
          <w:color w:val="auto"/>
        </w:rPr>
        <w:t>of the Notes to Consolidated Financial Statements.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COMSCORE,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comScore, Inc., together with its consolidated subsidiaries (collectively, "Comscore" or the "Company"), headquartered in Reston, Virginia, is a global information and analytics company that measures advertising, content, and the consumer audiences of each, across media platforms.</w:t>
      </w:r>
    </w:p>
    <w:p>
      <w:pPr>
        <w:spacing w:after="0" w:line="158"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domestic and foreign subsidiaries. All intercompany transactions and balances are eliminated upon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12, 2023, the Company held a special meeting of stockholders of the Company (the "Special Meeting"). At the Special Meeting, the stockholders approved an amendment to the Company's Amended and Restated Certificate of Incorporation (the "Certificate of Amendment") for the purpose of effecting a reverse stock split (the "Reverse Stock Split") of all outstanding shares of Common Stock, par value $0.001 per share (the "Common Stock") and reducing the number of authorized shares of Common Stock by the same ratio as the Reverse Stock Split. Following the Special Meeting, the Board of Directors approved a final ratio of 1-for-20 for the Reverse Stock Split with an effective date of December 20, 2023.</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20, 2023, the Company filed the Certificate of Amendment with the Secretary of State of the State of Delaware to implement the Reverse Stock Split, without any change to the par value of the Common Stock. The Certificate of Amendment reduced the number of authorized shares of Common Stock from 275,000,000 to 13,750,000 and the total number of shares of stock authorized for issuance from 380,000,000 to 118,750,000. The Company implemented the Reverse Stock Split on December 20, 2023.</w:t>
      </w:r>
    </w:p>
    <w:p>
      <w:pPr>
        <w:spacing w:after="0" w:line="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Common Stock began trading on a split-adjusted basis on the Nasdaq Global Select Market on December 20, 2023, under the existing trading symbol "SCOR", but the security was assigned a new CUSIP number (20564W204).</w:t>
      </w:r>
    </w:p>
    <w:p>
      <w:pPr>
        <w:spacing w:after="0" w:line="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Reverse Stock Split, every 20 shares of Common Stock issued and outstanding or held in treasury immediately prior to the Reverse Stock Split were converted into one share of Common Stock after the Reverse Stock Split. The Reverse Stock Split applied uniformly to all holders of Common Stock and did not alter any stockholder's percentage interest in the Company, except to the extent that the Reverse Stock Split would have resulted in some stockholders owning a fractional share. No fractional shares were issued in connection with the Reverse Stock Split, as all fractional shares were rounded down to the nearest whole share. Stockholders who would otherwise have been entitled to a fractional share of Common Stock were instead entitled to receive a proportional cash payment.</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noted, all shares of Common Stock, including Common Stock underlying warrants, stock options, and restricted stock units, as well as all conversion ratios, exercise prices, conversion prices and per share information in the Consolidated Financial Statements have been retroactively adjusted to reflect the 1-for-20 Reverse Stock Split, as if the split occurred at the beginning of the earliest period presented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amounts in the prior year financial statements have been reclassified to conform to the current year presentation. Specifically, contingent consideration has been aggregated within other current liabilities on the Consolidated Balance Sheets and the change in fair value of contingent consideration liability has been aggregated within other operating activities on the Consolidated Statements of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Judgments in the Preparation of the Consolidated Financial Statements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("GAAP") in the U.S. requires management to make estimates and assumptions that affect the reported amounts of assets and liabilities and the reported amounts of revenue and expense during the reporting periods. Significant estimates and judgments are inherent in the analysis and the measurement of management's Standalone Selling Price ("SSP"), principal versus agent revenue recognition, determination of performance obligations, determination of transaction price, including the determination of variable consideration and allocation of transaction price to performance obligations, deferred tax assets and liabilities, including the identification and quantification of income tax liabilities due to uncertain tax positions, the valuation and recoverability of goodwill, intangible and other long-lived assets, the determination of appropriate discount rates for lease accounting, the probability of exercising either lease renewal or termination clauses, the assessment of potential loss from contingencies, the fair value determination of contingent consideration from business combinations, financing-related liabilities and warrants, the initial fair value determination of the Preferred Stock (as defined below) and the valuation of options, performance-based and market-based stock awards. Management bases its estimates and assumptions on historical experience and on various other factors that are believed to be reasonable under the circumstances.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the inherent uncertainty involved in making estimates, actual results reported in future periods may be affected by changes in those estimates. The Company evaluates its estimates and assumptions on an ongoing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the fair value of certain assets and liabilities using the fair value hierarchy.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Company applies the three-tier GAAP value hierarchy which prioritizes the inputs used in measuring fair value as follows:</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unobservable inputs of which there is little or no market data, which require the Company to develop its own assumptions.</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that are measured at fair value on a non-recurring basis include property and equipment, operating right-of-use assets, intangible assets and goodwill. The Company measures these items at fair value when they are considered to be impaired or, in certain cases, upon initial recognition. The fair value of these assets are determined with valuation techniques using the best information available and may include market comparable information, discounted cash flow models, or a combination thereof.</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of cash and cash equivalents, restricted cash, accounts receivable, accounts payable and accrued expenses, and the current portion of contract liabilities and customer advances reported in the Consolidated Balance Sheets approximate fair value due to the short-term nature of these instruments. The carrying amount of the Company's prior revolving line of credit approximated fair value due to the variable rate nature of the debt.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January 2021, the Company entered into separate Securities Purchase Agreements with each of Charter Communications Holding Company, LLC ("Charter"), Qurate Retail, Inc. (together with its affiliate Qurate SCOR, LLC, "Qurate") and Pine Investor, LLC ("Pine") (the "Securities Purchase Agreements") for the issuance and sale of shares of Series B Convertible Preferred Stock, par value $0.001 ("Preferred Stock") as described in </w:t>
      </w:r>
      <w:r>
        <w:rPr>
          <w:rFonts w:ascii="Times New Roman" w:cs="Times New Roman" w:eastAsia="Times New Roman" w:hAnsi="Times New Roman"/>
          <w:sz w:val="18"/>
          <w:szCs w:val="18"/>
          <w:u w:val="single" w:color="auto"/>
          <w:color w:val="0000FF"/>
        </w:rPr>
        <w:t>Footnote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Redeemable Preferred Stock and Stockholders' Equity (Deficit)</w:t>
      </w:r>
      <w:r>
        <w:rPr>
          <w:rFonts w:ascii="Times New Roman" w:cs="Times New Roman" w:eastAsia="Times New Roman" w:hAnsi="Times New Roman"/>
          <w:sz w:val="18"/>
          <w:szCs w:val="18"/>
          <w:color w:val="auto"/>
        </w:rPr>
        <w:t>. The issuance of the Preferred Stock pursuant to the Securities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(the "Transactions") and related matters were approved by the Company's stockholders on March 9, 2021 and completed on March 10, 2021.</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16, 2023, Qurate sold 27,509,203 shares of Preferred Stock to Liberty Broadband Corporation ("Liberty") in a privately negotiated transaction.</w:t>
      </w: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24, 2024, the Company issued 13,257,294 additional shares of Preferred Stock to the existing holders of Preferred Stock in exchange for cancellation of the Company's obligation to pay accrued dividends totaling $32.8 million to such holders for annual dividend periods ended in 2023 and 2024. The additional shares of Preferred Stock have the same terms and conditions as the Preferred Stock previously issued by the Company. In connection with the issuance of the additional shares of Preferred Stock, the Company and the holders of the Preferred Stock also entered into an amendment to the Stockholders Agreement between the parties. Among other things, the amendment reduced the $100.0 million special dividend threshold set forth in the Stockholders Agreement by an amount equal to the liquidation preference of the additional Preferred Stock ($32.8 million). After further reducing the threshold by annual dividends paid in prior years, the current special dividend threshold is $47.0 million.</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Preferred Stock is contingently redeemable upon certain deemed liquidation events, such as a change in control. Because a deemed liquidation event could constitute a redemption event outside of the Company's control, all shares of Preferred Stock have been presented outside of permanent equity in mezzanine equity on the Consolidated Balance Sheets. The instrument was initially recognized at fair value net of issuance costs. The Company reassesses whether the Preferred Stock is currently redeemable, or probable to become redeemable in the future, as of each reporting date. If the instrument meets either of these criteria, the Company will accrete the carrying value to the redemption value. The Preferred Stock has not been adjusted to its redemption amount as of December 31, 2024 because a deemed liquidation event is not considered probable.</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financial instruments that are classified as mezzanine equity are evaluated for embedded derivative features by evaluating each feature against the nature of the host instrument (for example, more equity-like or debt-like). Features identified as embedded derivatives that are material are recognized separately as a derivative asset or liability in the financial statements. No embedded features were identified requiring bifurcation, other than the change of control redemption feature.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cash equivalents are maintained with several financial institutions domestically and internationally. The combined account balances held on deposit at each institution typically exceed Federal Deposit Insurance Corporation ("FDIC") insurance coverage and, as a result, there is a concentration of credit risk related to amounts on deposit in excess of FDIC insurance coverage. The Company reduces this risk by maintaining such deposits with high quality financial institutions that management believes are creditworthy, and by monitoring this credit risk and making adjustments as necessary.</w:t>
      </w:r>
    </w:p>
    <w:p>
      <w:pPr>
        <w:spacing w:after="0" w:line="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highly liquid investments with an original maturity of three months or less at the time of purchase and qualifying money-market funds as cash equivalents.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represents security deposits for subleased office space and cash collateral for outstanding letters of credit.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generally grants uncollateralized credit terms to its customers. Credit risk associated with accounts receivable is mitigated by the Company's ongoing credit evaluation of its customers' financial condition. An allowance for doubtful accounts is maintained to reserve for uncollectible receivables. Allowances are based on management's judgment, which considers historical collection experience adjusted for current conditions or expected future conditions based on reasonable and supportable forecasts, a specific review of all significant outstanding receivables, an assessment of company-specific credit conditions and general economic conditions.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activity within the allowance for doubtful accounts: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0" w:type="dxa"/>
            <w:vAlign w:val="bottom"/>
          </w:tcPr>
          <w:p>
            <w:pPr>
              <w:spacing w:after="0"/>
              <w:rPr>
                <w:sz w:val="1"/>
                <w:szCs w:val="1"/>
                <w:color w:val="auto"/>
              </w:rPr>
            </w:pPr>
          </w:p>
        </w:tc>
      </w:tr>
      <w:tr>
        <w:trPr>
          <w:trHeight w:val="213"/>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Bad debt expense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Recoveries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Write-offs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0" w:type="dxa"/>
            <w:vAlign w:val="bottom"/>
          </w:tcPr>
          <w:p>
            <w:pPr>
              <w:spacing w:after="0"/>
              <w:rPr>
                <w:sz w:val="1"/>
                <w:szCs w:val="1"/>
                <w:color w:val="auto"/>
              </w:rPr>
            </w:pPr>
          </w:p>
        </w:tc>
      </w:tr>
      <w:tr>
        <w:trPr>
          <w:trHeight w:val="234"/>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is recorded at cost, net of accumulated depreciation, and is depreciated on a straight-line basis over the estimated useful lives of the assets, ranging from 3 to 10 years. Finance lease assets are recorded at their net present value at the commencement of the lease. Both finance lease assets and leasehold improvements are amortized on a straight-line basis over the shorter of the related lease terms or their useful lives. Replacements and major improvements are capitalized; maintenance and repairs are expensed as incurred.</w:t>
      </w:r>
    </w:p>
    <w:p>
      <w:pPr>
        <w:spacing w:after="0" w:line="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Included in property and equipment, net, are capitalized software costs to purchase and develop internal-use software, which the Company uses to provide services to its clients. The costs to purchase and develop internal-use software are capitalized from the time that the preliminary project stage is completed, and it is considered probable that the software will be used to perform the function intended, until the time the software is placed in service for its intended use. Any costs incurred during subsequent efforts to upgrade and enhance the functionality of the software are also capitalized. Once this software is ready for use in the Company's products, these costs are amortized on a straight-line basis over the estimated useful life of the software, which is typically assessed to be 3 years. During the years ended December 31, 2024, 2023 and 2022, the Company capitalized $22.8 million, $22.4 million, and $17.2 million in internal-use software costs, respectively. The Company amortized $20.4 million, $18.1 million and $15.1 million in capitalized internal-use software costs during the years ended December 31, 2024, 2023 and 2022,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2021, the Company and two newly formed, wholly owned subsidiaries of the Company entered into an Agreement and Plan of Merger (the "Merger Agreement" or "Merger") with Shareablee, Inc. ("Shareablee"), to acquire Shareablee in exchange for shares of the Company's Common Stock and contingent consideration payable subject to the achievement of certain conditions set forth in the Merger Agreement. Total consideration paid or payable by the Company related to the Merger (valued as of the closing date of the Merger) was $31.4 million, which included $5.6 million for the fair value of contingent consideration payable based on the achievement of certain contractual milestones or future revenue performance. The maximum amount of contingent consideration payable under the Merger was $8.6 million.</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April 2022, the contingency was resolved and the full amount was deemed payable, subject to reduction for any pending indemnification claims and other terms set forth in the Merger Agreement. The resolution of this contingency eliminated the option pricing model as a valuation technique, and the fair value was remeasured using only the discounted cash flow model. The Company settled the first installment of $3.7 million in cash in 2023 and the second installment of $3.7 million in cash in 2024. In December 2024, the Company elected to settle the third and final installment of $1.2 million in cash. This amount remained outstanding as of December 31, 2024 and was paid in 2025. Refer to </w:t>
      </w:r>
      <w:r>
        <w:rPr>
          <w:rFonts w:ascii="Times New Roman" w:cs="Times New Roman" w:eastAsia="Times New Roman" w:hAnsi="Times New Roman"/>
          <w:sz w:val="18"/>
          <w:szCs w:val="18"/>
          <w:u w:val="single" w:color="auto"/>
          <w:color w:val="0000FF"/>
        </w:rPr>
        <w:t>Footnote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additional information on the fair value of the contingent consideration.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Computing Implementation Costs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costs incurred for implementation, setup, and other upfront activities in a hosting arrangement that is a service contract are capitalized during the application development stage. Upgrades and enhancements are capitalized if they will result in additional functionality. Amortization of capitalized costs is recorded on a straight-line basis over the term of the associated hosting arrangement, inclusive of reasonably certain renewal periods. As of December 31, 2024 and 2023, capitalized implementation costs, net of accumulated amortization, were $2.2 million and $3.5 million, respectively.</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the expected period of benefit of the capitalized implementation costs was five years. Amortization costs are classified within general and administrative expense in the Consolidated Statements of Operations and Comprehensive Loss. The Company recorded $1.4 million of amortization expense for each of the years ended December 31, 2024,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purchase consideration over the fair value of identifiable assets acquired and liabilities assumed when a business is acquired. The valuation of intangible assets and goodwill involves the use of management's estimates and assumptions and can have a significant impact on future operating results. The Company initially records its intangible assets at fair value. Definite-lived intangible assets are amortized over their estimated useful lives while goodwill is not amortized but is evaluated for impairment at least annually, as of October 1, by comparing the fair value of a reporting unit to its carrying value including goodwill recorded by the reporting unit.</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 single reporting unit. Accordingly, the impairment assessment for goodwill is performed at the enterprise level. Goodwill is reviewed for possible impairment between annual tests if an event occurs or circumstances change that would more likely than not reduce the fair value of the reporting unit below its carrying value. The Company has the option to first perform qualitative testing to determine whether it is more likely than not that the fair value of the reporting unit is less than its carrying value. The qualitative evaluation is an assessment of factors, including operating results and cost factors, as well as industry, market and macroeconomic conditions, to determine whether it is more likely than not that the fair value of the reporting unit is less than the carrying amount, including goodwill. If the Company chooses not to complete a qualitative assessment or if the initial assessment indicates that it is more likely than not that the carrying value of the reporting unit exceeds its estimated fair value, additional quantitative testing is required.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reporting unit is determined utilizing a discounted cash flow model, and a market value approach is utilized to supplement the discounted cash flow model. The estimated fair value of a reporting unit is determined based on assumptions regarding estimated future cash flows, discount rates, long-term growth rates and market values. Additionally, the Company considers income tax effects from any tax-deductible goodwill on the carrying amount of the reporting unit when measuring the goodwill impairment charge.</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monitors for events and circumstances that could negatively impact the key assumptions in determining fair value, including long-term revenue growth projections, profitability, discount rates, volatility in the Company's market capitalization, general industry, and market and macroeconomic conditions. It is possible that future changes in such circumstances, or in the variables associated with the judgments, assumptions and estimates used in assessing the fair value of the reporting unit, would require the Company to record a material non-cash impairment charge.</w:t>
      </w:r>
    </w:p>
    <w:p>
      <w:pPr>
        <w:spacing w:after="0" w:line="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During the third quarter of 2024, the Company concluded that it was more likely than not that the estimated fair value of its reporting unit was less than its carrying value. In its assessment, the Company considered changes in the Company's stock price, market and equity capitalization, operating results and projections. The Company performed quantitative testing on its reporting unit using a discounted cash flow model (a form of the income approach) utilizing Level 3 unobservable inputs, supported by a market approach. The Company's reporting unit did not pass the goodwill impairment test, and as a result, the Company recorded a $63.0 million non-cash impairment charge during the three months ended September 30, 2024. No additional impairment indicators were identified during the fourth quarter of 2024. Refer to </w:t>
      </w:r>
      <w:r>
        <w:rPr>
          <w:rFonts w:ascii="Times New Roman" w:cs="Times New Roman" w:eastAsia="Times New Roman" w:hAnsi="Times New Roman"/>
          <w:sz w:val="18"/>
          <w:szCs w:val="18"/>
          <w:u w:val="single" w:color="auto"/>
          <w:color w:val="0000FF"/>
        </w:rPr>
        <w:t>Footnote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for further information.</w:t>
      </w:r>
    </w:p>
    <w:p>
      <w:pPr>
        <w:spacing w:after="0" w:line="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part of the annual test as of October 1, 2023, the Company performed a quantitative goodwill impairment test using a discounted cash flow model, supported by a market approach. The Company's reporting unit did not pass the goodwill impairment test, and as a result, the Company recorded a $34.1 million non-cash impairment charge during the three months ended December 31, 2023.</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of 2023, the Company performed a quantitative goodwill impairment test using a discounted cash flow model, supported by a market approach. The Company's reporting unit did not pass the goodwill impairment test, and as a result, the Company recorded a $44.1 million non-cash impairment charge during the three months ended June 30, 2023.</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third quarter of 2022, the Company performed a quantitative goodwill impairment test using a discounted cash flow model, supported by a market approach. The Company's reporting unit did not pass the goodwill impairment test, and as a result, the Company recorded a $46.3 million non-cash impairment charge during the three months ended September 30, 2022.</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with finite lives are generally amortized using the straight-line method over the following useful lives: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20" w:type="dxa"/>
            <w:vAlign w:val="bottom"/>
          </w:tcPr>
          <w:p>
            <w:pPr>
              <w:spacing w:after="0"/>
              <w:rPr>
                <w:sz w:val="16"/>
                <w:szCs w:val="16"/>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Useful Lives (Years)</w:t>
            </w:r>
          </w:p>
        </w:tc>
      </w:tr>
      <w:tr>
        <w:trPr>
          <w:trHeight w:val="23"/>
        </w:trPr>
        <w:tc>
          <w:tcPr>
            <w:tcW w:w="98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methodologies and technology</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213"/>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Acquired software</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r>
      <w:tr>
        <w:trPr>
          <w:trHeight w:val="21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7"/>
              </w:rPr>
              <w:t>11</w:t>
            </w:r>
          </w:p>
        </w:tc>
      </w:tr>
      <w:tr>
        <w:trPr>
          <w:trHeight w:val="210"/>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Intellectual property</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r>
    </w:tbl>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its definite-lived intangible assets for impairment whenever events or changes in circumstances indicate the carrying value of such assets may not be recoverable. If an indication of impairment is present, the Company compares the estimated undiscounted future cash flows to be generated by the asset group to its carrying amount. Recoverability measurement and estimation of undiscounted cash flows are grouped at the lowest level for which identifiable cash flows are largely independent of the cash flows of other assets and liabilities. If the undiscounted future cash flows are less than the carrying amount of the asset group, the Company records an impairment loss equal to the excess of the asset group's carrying amount over its fair value. The fair value is determined based on valuation techniques such as a comparison to fair values of similar assets or using a discounted cash flow analysis.</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Company believes that the carrying values of its goodwill and definite-lived intangible assets are appropriately stated as of December 31, 2024, changes in strategy or market conditions, significant technological developments or significant changes in legal or regulatory factors could significantly impact these judgments and require adjustments to recorded asset balances.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Other Long-Lived Assets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other long-lived assets consist primarily of property and equipment and right-of-use ("ROU") assets. The Company evaluates its ROU and long-lived assets for impairment whenever events or changes in circumstances indicate the carrying value of such assets may not be recoverable. For facility lease ROU and related long-lived assets, the Company compares the estimated undiscounted cash flows generated by a sublease to the current carrying value of the ROU and related long-lived assets. The Company treats operating lease ROU assets as financing transactions, thereby excluding the operating lease liability and related lease payments from the head lease, for purposes of testing recoverability. If the undiscounted cash flows are less than the carrying value of the ROU and related long-lived assets, the Company records an impairment loss equal to the excess of the ROU and long-lived assets' carrying value over their fair value.</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performed an analysis in the third quarter of 2024 related to the execution of a sublease for an office space for which expected cash receipts are less than the disbursements for the primary lease. The Company recorded a $1.4 million non-cash impairment charge related to the ROU asset and associated leasehold improvements during the three months ended September 30, 2024. The fair value of the ROU asset was estimated using an income approach and a discount rate of 9.3%.</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performed an analysis in the third quarter of 2023 related to the abandonment of two leased office spaces, which changed the extent and manner for which the ROU assets and related long-lived assets were being used. The Company recorded a non-cash impairment charge of $1.5 million related to the ROU assets during the three months ended September 30, 2023.</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performed an analysis in the fourth quarter of 2022 related to the execution of a sublease for a property for which expected cash receipts were less than the disbursements for the lease. The Company recorded a $0.2 million non-cash impairment charge related to the ROU asset during the three months ended December 31, 2022. The fair value of the ROU asset was estimated using an income approach and a discount rate of 7.4%.</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Company believes that the carrying values of its other long-lived assets are appropriately stated as of December 31, 2024, changes in strategy or market conditions, significant technological developments or significant changes in legal or regulatory factors could significantly impact these judgments and require adjustments to recorded asset balances.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Liability</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2019, the Company issued warrants in connection with the private placement described in </w:t>
      </w:r>
      <w:r>
        <w:rPr>
          <w:rFonts w:ascii="Times New Roman" w:cs="Times New Roman" w:eastAsia="Times New Roman" w:hAnsi="Times New Roman"/>
          <w:sz w:val="18"/>
          <w:szCs w:val="18"/>
          <w:u w:val="single" w:color="auto"/>
          <w:color w:val="0000FF"/>
        </w:rPr>
        <w:t>Footnote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Redeemable Preferred Stock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Equity (Deficit)</w:t>
      </w:r>
      <w:r>
        <w:rPr>
          <w:rFonts w:ascii="Times New Roman" w:cs="Times New Roman" w:eastAsia="Times New Roman" w:hAnsi="Times New Roman"/>
          <w:sz w:val="18"/>
          <w:szCs w:val="18"/>
          <w:color w:val="auto"/>
        </w:rPr>
        <w:t>. The warrants were determined to be freestanding financial instruments that qualify for liability treatment as a result of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settlement features associated with a cap on the issuance of shares, under certain circumstances, or upon a change of control. Changes in the fair value of these instruments were recorded in other income, net in the Consolidated Statements of Operations and Comprehensive Loss.</w:t>
      </w:r>
    </w:p>
    <w:p>
      <w:pPr>
        <w:spacing w:after="0" w:line="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each warrant was estimated utilizing an option pricing model. Significant valuation inputs included the exercise price, price and expected volatility of the Company's Common Stock, risk-free rate and the remaining term of the warrants. All remaining warrants expired on June 26,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lease portfolio is comprised of two major classes. Real estate leases, which are the majority of the Company's leased assets, are accounted for as operating leases. Computer equipment leases are generally accounted for as finance leases.</w:t>
      </w:r>
    </w:p>
    <w:p>
      <w:pPr>
        <w:spacing w:after="0" w:line="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and whether the lease should be classified as an operating or finance lease. ROU assets and lease liabilities are recognized at the lease commencement date based on the present value of the future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minimum lease payments over the lease term. Operating ROU assets also include the impact of any lease incentives. A ROU asset and lease liability are not recorded for short-term leases with an initial term of 12 months or less.</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elected to combine lease and non-lease components and account for them together as a single lease component, which increases the carrying amount of the ROU assets and lease liabilities. Non-lease components primarily include payments for common-area maintenance, utilities and other pass-through charges.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its incremental borrowing rate to determine the present value of the future lease payments. The incremental borrowing rate is estimated to approximate the interest rate on a collateralized basis with similar terms and payments, and in economic environments where the leased asset is located.</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lease terms include periods under options to extend or terminate the lease when it is reasonably certain that the Company will exercise that option. The Company considers contractual-based factors such as the nature and terms of the renewal or termination, asset-based factors such as physical location of the asset and entity-based factors such as the importance of the leased asset to the Company's operations to determine the lease term. The Company generally uses the non-cancelable lease term when measuring its ROU assets and lease liabilities.</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under the Company's lease arrangements are primarily fixed; however, certain lease agreements contain variable payments, which are expensed as incurred and excluded from the measurement of ROU assets and lease liabilities. These payment amounts are affected by changes in market indices and costs for common-area maintenance, utilities and other pass-through charges that are based on usage or performance.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leases are included in operating ROU assets, current operating lease liability, and non-current operating lease liability in the Consolidated Balance Sheets. The Company recognizes lease expense (excluding variable lease costs) for its operating leases on a straight-line basis over the term of the lease. Finance lease assets are included in property and equipment, net; current finance lease liabilities are aggregated into other current liabilities; and non-current finance lease obligations are aggregated in other non-current liabilities in the Consolidated Balance Sheets. The Company recognizes interest expense on the lease liability and the ROU asset is amortized over the lease term for its finance leases.</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from subleased properties is recognized and presented as a reduction of costs, allocated among operating expense line items, in the Consolidated Statements of Operations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Generally, the functional currency of the Company's foreign subsidiaries is the local currency. In those cases where the transaction is not denominated in the functional currency, the Company revalues the transaction to the functional currency and records the transaction gain or loss in the Company's Statements of Operations and Comprehensive Loss. Assets and liabilities are translated at the current exchange rate as of the end of the year, and revenues and expenses are translated at average exchange rates in effect during the year. The gain or loss resulting from the process of translating a foreign subsidiary's functional currency financial statements into U.S. Dollars ("USD") is reflected as foreign currency cumulative translation adjustment and reported as a component of accumulated other comprehensive loss. The translation adjustment for intercompany foreign currency loans that are permanent in nature are also recorded as accumulated other comprehensive loss. Translation adjustments on intercompany accounts that are short term in nature are recorded as (loss) gain from foreign currency transactions. For foreign entities where USD is the functional currency, re-measurement of gains and losses related to deferred tax assets and liabilities are reflected in income tax provision in the Consolidated Statements of Operations and Comprehensive Loss.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revenue under the core principle to depict the transfer of control to its customers in an amount reflecting the consideration to which it expects to be entitled.</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contracts with customers may include multiple promised goods and services. Contracts with multiple performance obligations typically consist of a mix of subscriptions to the Company's online database, customized data services, and delivery of periodic custom reports based on information obtained from the database. In such cases, the Company identifies performance obligations by evaluating whether the promised goods and services are capable of being distinct and distinct within the context of the contract at contract inception. Promised goods and services that are not distinct at contract inception are combined as one performance obligation.</w:t>
      </w:r>
    </w:p>
    <w:p>
      <w:pPr>
        <w:spacing w:after="0" w:line="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Once the Company identifies the performance obligations, the Company will determine the transaction price based on contractually fixed amounts and an estimate of variable consideration. In general, the transaction price is determined by estimating the fixed amount of consideration to which the Company is entitled for transfer of goods and services and all relevant sources and components of variable consideration. Variable consideration is estimated based on the most likely amount or expected value approach, depending on which method the Company expects to better predict the amount of consideration to which it will be entitled. Once the Company elects one of the methods to estimate variable consideration for a particular type of performance obligation, the Company will apply that method consistently. Estimates of variable consideration are subject to constraint based on expected recovery from the customer. Sales taxes remitted to government authorities are excluded from the transaction price.</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allocates the transaction price to each performance obligation based on relative SSP. Judgment is exercised to determine the SSP of each distinct performance obligation. In most cases, the Company bundles multiple products and very few are sold on a standalone basis. The Company primarily applies an adjusted market assessment approach for the determination of the SSP, which is supported by rate cards and</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pricing calculators that are periodically reviewed and updated to reflect the latest sales data and observable inputs by industry, channel, geography, customer size, and other relevant groupings.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by transferring promised goods or services to a customer. Customers may obtain the control of promised goods or services over time or at a point in time. Subscription-based revenues, and other products delivered continuously through a user interface, are recognized on a straight-line basis over an access period specified within the respective contract. Revenues for impression-based products are typically recognized over time, on a time-elapsed basis, as the customer is continuously consuming and receiving the benefits of campaign measurement, or an output method, such as volume of impressions processed during a discrete period. Report-based revenues are recognized at a point in time, which is generally once the product has been delivered to the customer. The Company also considers whether there is a present right to payment, and whether the customer has accepted the product if such acceptance provisions are substantive.</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may have the right to cancel their contracts by providing a written notice of cancellation, although most subscription-based contracts are non-cancelable. If a customer cancels its contract, the customer is generally not entitled to a refund for prior services. In the event a portion of a contract is refundable, revenue recognition is delayed until the refund provision lapses. For multi-year contracts with annual price increases, the total consideration for each of the years included in the contract term will be combined and recognized on a straight-line basis.</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transactions that involve third parties, the Company evaluates whether it is the principal, in which case it recognizes revenue on a gross basis. If the Company is an agent, it recognizes revenue on a net basis. This determination can require significant judgment for certain revenue share arrangements that involve the use of partner data in the Company's sales to end users or the use of its data in partner sales to end users. In these arrangements, the Company assesses which party controls the specified goods or services before they are transferred to the customer, as well as other indicators such as the party primarily responsible for fulfillment, inventory risk, and discretion in establishing price.</w:t>
      </w:r>
    </w:p>
    <w:p>
      <w:pPr>
        <w:spacing w:after="0" w:line="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enters into a limited number of monetary contracts with multichannel video programming distributors ("MVPDs") that involve both the purchase and sale of services with a single counterparty. Each contract is assessed to determine if the revenue and expense should be presented gross or net. In some instances, the Company may provide free distinct goods or services as a form of non-cash consideration to the counterparty. Revenue is recognized for these contracts to the extent SSP is established for distinct services provided. Any excess consideration above the established SSP of services is presented as a reduction to cost of revenues in the Consolidated Statements of Operations and Comprehensive Loss. The fair value of non-cash consideration included in revenues during the years ended December 31, 2024, 2023 and 2022 totaled $4.3 million, $4.2 million, and $3.9 million, respectively. The fair value of non-cash consideration included in cost of revenues during the years ended December 31, 2024, 2023 and 2022 totaled $4.3 million, $4.3 million and $4.1 million,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are billed and unbilled amounts where the right to payment from the customer is unconditional but for the passage of time. Contract assets represent amounts where the right to payment in exchange for goods or services transferred is conditioned on future events, such as the entity's continued performance. The portion of contract assets to be billed in the succeeding twelve-month period are included in prepaid expenses and other current assets, and the remaining amounts are included in other non-current assets within the Consolidated Balance Sheets.</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Contract liabilities relate to amounts billed in advance, or advance consideration received from customers, under non-cancelable contracts for which exchange of goods or services will occur in the future. Customer advances relate to amounts billed in advance, or advance considerations received from customers, for contracts with termination rights for which exchange of goods or services will occur in the future. The portion of contract liabilities and customer advances to be recognized in the succeeding twelve-month period are presented separately within current liabilities, and the remaining amounts are included in other non-current liabilities within the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elected an optional exemption to not disclose information about the amount of the transaction price allocated to remaining performance obligations for contracts that have an original expected duration of one year or less. The amount disclosed for remaining performance obligations also excludes variable consideration from unsatisfied performance obligations within a series where revenue is recognized using an output method, such as volume of impressions processed.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revenues consists primarily of costs to produce the Company's products including viewing data from MVPDs, census-based, panel and other third-party data as well as costs to operate its network infrastructure including data center, data storage and compliance costs. Other costs include employee costs including stock-based compensation, depreciation related to assets used to maintain the network and produce products and allocated overhead, including rent and depreciation expenses generated by general purpose equipment and software.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and marketing expenses consist primarily of salaries, commissions, stock-based compensation, benefits and bonuses for personnel associated with sales and marketing activities, as well as costs related to online and offline advertising, product management, seminars,</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promotional materials, public relations, other sales and marketing programs, and allocated overhead, including rent and other facilities related costs, and depreciation.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stock-based compensation, benefits and related costs for personnel associated with research and development activities, as well as allocated overhead, including rent and other facilities related costs, and depreciation.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stock-based compensation, benefits and related costs for executive management, finance, accounting, human capital, legal, information technology and other administrative functions, as well as professional fees and allocated overhead, including rent and other facilities related costs, depreciation and expenses incurred for other general corporate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represents income and expenses incurred that are generally not recurring in nature or are not part of the Company's normal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significant components of other income, net: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6"/>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warrants liability</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w w:val="99"/>
              </w:rPr>
              <w:t>669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9,802</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34"/>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net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w w:val="99"/>
              </w:rPr>
              <w:t>651</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9,785</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Debt issuance costs include expenditures necessary to obtain debt financing and are amortized on a straight-line basis, which approximates the effective interest method over the term of the underlying debt instrument. Debt issuance costs, except for costs associated with the Revolving Facility (as defined below), are presented as a direct deduction from the related debt liability in the Consolidated Balance Sheets. Debt issuance costs for the Revolving Facility are included in other non-current assets in the Consolidated Balance Sheets. The Term Loan (as defined below) and Revolving Facility issuance costs are amortized to interest expense, net in the Consolidated Statements of Operations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stock-based awards on their grant date. The fair value of stock options with only service conditions is determined using the Black-Scholes option pricing model. The determination of the fair value of the Company's stock option awards is based on a variety of factors, including, but not limited to, the Company's Common Stock price, risk-free rate, expected stock price volatility over the expected life of awards, and the expected term of the option. The fair value of restricted stock units ("RSUs") is based on the closing price of the Company's Common Stock on the grant date. The Company amortizes the fair value of awards expected to vest on a straight-line basis over the requisite service periods of the awards, which is generally the period from the grant date to the end of the vesting period.</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issues stock options with a vesting period based solely upon the passage of time (service vesting). To determine the expected term of the option the Company applies the simplified method for plain-vanilla options due to the lack of significant historical exercise experience. For non-employee options that do not qualify as plain-vanilla the Company has elected to apply the contractual term of the award.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issues RSU awards with a vesting period based solely upon the passage of time (service vesting), achieving performance targets, fulfillment of market conditions, or a combination thereof. For those RSU awards with only service vesting, the Company recognizes compensation cost on a straight-line basis over the service period. For awards with both service and performance conditions, the Company starts recognizing compensation cost over the remaining service period when it is probable the performance conditions will be met. Stock awards that contain performance vesting conditions are excluded from diluted earnings per share ("EPS") computations until the contingency is met as of the end of that reporting period.</w:t>
      </w:r>
    </w:p>
    <w:p>
      <w:pPr>
        <w:spacing w:after="0" w:line="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awards with both service and market conditions, the Company recognizes compensation cost over the remaining service period, with the effect of the market condition reflected in the determination of the award's fair value at the grant date. The Company values awards with market conditions using certain valuation techniques, such as a lattice model or Monte Carlo simulation analysis. The Company determines the requisite service period based on the longer of the explicit service period and the derived service period. Stock awards that contain market vesting conditions are included in the computations of diluted EPS reflecting the number of shares that would be issued based on the current market price at the end of the period being reported on, if their effect is dilutive.</w:t>
      </w:r>
    </w:p>
    <w:p>
      <w:pPr>
        <w:spacing w:after="0" w:line="6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the Company's annual incentive compensation plan, the Company may grant immediately vested RSUs to certain employees. For these awards, stock-based compensation expense is accrued commencing at the service inception date, which generally precedes the grant date, through the end of the requisite service period.</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forfeitures for stock-based awards at their grant date based on historical experience. The estimated forfeiture rate as of December 31, 2024, 2023 and 2022 was 10.0% for non-executive awards. Awards granted to senior executives have an estimated forfeiture rate of zero. The Company performs a review of its forfeiture rate assumption on an annual basis. Changes in the estimates and assumptions relating to forfeitures and subsequent grants may result in material changes to stock-based compensation expense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Deferred income taxes are provided for temporary differences in recognizing certain income, expense and credit items for financial reporting purposes and tax reporting purposes. Such deferred income taxes primarily relate to the difference between the tax bases of assets and liabilities and their financial reporting amounts. Deferred tax assets and liabilities are measured by applying enacted statutory tax rates applicable to the future years in which deferred tax assets or liabilities are expected to be settled or realized. Excess tax benefits and tax deficiencies are recognized in the income tax provision in the period in which they occur.</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a valuation allowance when it determines, based on available positive and negative evidence, that it is more likely than not that some portion or all of its deferred tax assets will not be realized. The Company determines the realizability of its deferred tax assets primarily based on the reversal of existing taxable temporary differences and projections of future taxable income (exclusive of reversing temporary differences and carryforwards). In evaluating such projections, the Company considers its history of profitability, the competitive environment, and general economic conditions. In addition, the Company considers the time frame over which it would take to utilize the deferred tax assets prior to their expiration.</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certain tax positions, the Company uses a more-likely-than-not threshold based on the technical merits of the tax position taken. Tax positions that meet the more-likely-than-not recognition threshold are measured at the largest amount of tax benefits determined on a cumulative probability basis, which are more likely than not to be realized upon ultimate settlement in the financial statements. The Company's policy is to recognize interest and penalties related to income tax matters in income tax expense.</w:t>
      </w:r>
    </w:p>
    <w:p>
      <w:pPr>
        <w:spacing w:after="0" w:line="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2017, U.S. tax reform legislation known as the Tax Cuts and Jobs Act (the "TCJA") was signed into law. The Company determined the effects of certain provisions, including but not limited to: a reduction in the corporate tax rate from 35% to 21%, a limitation of the deductibility of certain officers' compensation, a limitation on the current deductibility of net interest expense in excess of 30% of adjusted taxable income, a limitation of net operating losses generated after 2018 to 80% of taxable income, an incremental tax (base erosion anti-abuse or "BEAT") on excessive amounts paid to foreign related parties, and a minimum tax on certain foreign earnings in excess of 10% of the foreign subsidiaries' tangible assets (global intangible low-taxed income or "GILTI"). As part of its GILTI review, the Company has determined that it will account for GILTI income as it is generated (i.e., treat it as a period expense). Given the Company's loss position in the U.S. and the valuation allowance recorded against its U.S. net deferred tax assets, these provisions have not had a material impact on the Company's consolidated financial statements.</w:t>
      </w:r>
    </w:p>
    <w:p>
      <w:pPr>
        <w:spacing w:after="0" w:line="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in 2022, the TCJA eliminated the option to immediately deduct research and experiment ("R&amp;E") expenditures in the year incurred pursuant to Internal Revenue Code Section 174 ("Section 174"). The amended provision under Section 174 requires taxpayers to capitalize and amortize these expenditures over five years for research performed in the U.S. and over 15 years for research performed outside the U.S. While it is possible that Congress may defer, modify or repeal this provision, potentially with retroactive effect, it was not deferred, modified or repealed as of December 31, 2024. Due to the Company's federal and state net operating loss ("NOL") carryforwards, the amended provision under Section 174 only increased the Company's state cash taxes payable and reduced its cash flow from operating activities by an immaterial amount in 2024, 2023 and 2022. The capitalized R&amp;E expenditures merely caused a reclassification between the NOL deferred tax asset and capitalized R&amp;E deferred tax asset as of December 31, 2024 and 2023. Because the Company's deferred tax assets have a full valuation allowance against them, the amended provision under Section 174 did not materially impact the Company's tax rate or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two-class method to calculate net loss per share. The two-class method is an earnings allocation formula that treats a participating security as having rights to earnings that otherwise would have been available to common stockholders. Under the two-class method, earnings for the period are allocated between common stockholders and participating security holders based on their respective rights to receive dividends as if all undistributed book earnings for the period were distributed.</w:t>
      </w:r>
    </w:p>
    <w:p>
      <w:pPr>
        <w:spacing w:after="0" w:line="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loss per share is computed by dividing net loss available to only the common stockholders by the weighted-average number of common shares outstanding for the period. This includes the effect of vested and deferred stock units granted to members of the Company's Board of Directors ("Board") and certain employees. These awards are expected to be settled in shares of Common Stock and generally distributed upon the earlier of the individual's separation from service or a change of control. Diluted loss per share includes the effect of potential common shares, such as the Company's Preferred Stock, warrants, stock options, restricted stock units and contingent consideration, to the extent the effect is dilutive. In periods with a net loss available to common stockholders, the anti-dilutive effect of these potential common shares is excluded and diluted net loss per share is equal to basic net loss per share.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Common Stock equivalents for the securities outstanding during the respective periods that have been excluded from the computation of diluted net loss per common share, as their effect would be anti-dilutive: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20" w:type="dxa"/>
            <w:vAlign w:val="bottom"/>
          </w:tcPr>
          <w:p>
            <w:pPr>
              <w:spacing w:after="0"/>
              <w:rPr>
                <w:sz w:val="16"/>
                <w:szCs w:val="16"/>
                <w:color w:val="auto"/>
              </w:rPr>
            </w:pPr>
          </w:p>
        </w:tc>
      </w:tr>
      <w:tr>
        <w:trPr>
          <w:trHeight w:val="23"/>
        </w:trPr>
        <w:tc>
          <w:tcPr>
            <w:tcW w:w="68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820" w:type="dxa"/>
            <w:vAlign w:val="bottom"/>
          </w:tcPr>
          <w:p>
            <w:pPr>
              <w:spacing w:after="0"/>
              <w:rPr>
                <w:sz w:val="16"/>
                <w:szCs w:val="16"/>
                <w:color w:val="auto"/>
              </w:rPr>
            </w:pPr>
          </w:p>
        </w:tc>
        <w:tc>
          <w:tcPr>
            <w:tcW w:w="138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40" w:type="dxa"/>
            <w:vAlign w:val="bottom"/>
            <w:gridSpan w:val="3"/>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820" w:type="dxa"/>
            <w:vAlign w:val="bottom"/>
            <w:tcBorders>
              <w:top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Preferred Stock </w:t>
            </w:r>
            <w:r>
              <w:rPr>
                <w:rFonts w:ascii="Times New Roman" w:cs="Times New Roman" w:eastAsia="Times New Roman" w:hAnsi="Times New Roman"/>
                <w:sz w:val="21"/>
                <w:szCs w:val="21"/>
                <w:color w:val="auto"/>
                <w:vertAlign w:val="superscript"/>
              </w:rPr>
              <w:t>(1)</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4,699,620</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4,285,418</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4,285,418</w:t>
            </w: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132,698</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272,851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272,851</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and restricted stock units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295,249</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294,388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249,081</w:t>
            </w:r>
          </w:p>
        </w:tc>
      </w:tr>
      <w:tr>
        <w:trPr>
          <w:trHeight w:val="216"/>
        </w:trPr>
        <w:tc>
          <w:tcPr>
            <w:tcW w:w="6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(2)</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71,377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211,034</w:t>
            </w:r>
          </w:p>
        </w:tc>
      </w:tr>
      <w:tr>
        <w:trPr>
          <w:trHeight w:val="234"/>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5,127,567</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4,924,034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5,018,384</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firstLine="8"/>
        <w:spacing w:after="0" w:line="253" w:lineRule="auto"/>
        <w:tabs>
          <w:tab w:leader="none" w:pos="145"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the effect of potential Common Stock that would be issued to settle unpaid dividends accrued to holders of the Preferred Stock if they elected to convert their shares at the beginning of the period (or at the time of issuance, if later).</w:t>
      </w:r>
    </w:p>
    <w:p>
      <w:pPr>
        <w:jc w:val="both"/>
        <w:ind w:firstLine="8"/>
        <w:spacing w:after="0" w:line="355" w:lineRule="auto"/>
        <w:tabs>
          <w:tab w:leader="none" w:pos="132" w:val="left"/>
        </w:tabs>
        <w:numPr>
          <w:ilvl w:val="0"/>
          <w:numId w:val="3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 contingent consideration liability was recognized as part of the Company's 2021 Shareablee acquisition. The liability payments could have been settled in any combination of cash or shares of Common Stock based on the volume-weighted average trading price of the Common Stock for the 10 trading days prior to the date of each payment. As of December 31, 2024, there are no contingently issuable shares as the Company elected to settle the third and last installment of $1.2 million in cash. The Company calculated a potential anti-dilutive share count based on the maximum contingent consideration as of December 31, 2023 of $1.2 million and the $16.70 per share closing price of the Company's Common Stock on the Nasdaq Global Select Market on December 29, 2023. The Company calculated a potential anti-dilutive share count based on the maximum contingent consideration as of December 31, 2022 of $4.9 million and the $23.20 per share closing price of the Company's Common Stock on the Nasdaq Global Select Market on December 30, 2022.</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2023 and 2022, dividends to holders of the Preferred Stock totaled $17.6 million, $16.3 million, and $15.5 million, respectively. These dividends have been included in calculating the total loss available to common stockholders used in the calculation of basic and diluted loss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Guidance</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expands annual and interim disclosure requirements for reportable segments, primarily through enhanced disclosures about significant segment expenses. The amendments are effective for fiscal years beginning after December 15, 2023, and interim periods within fiscal years beginning after December 15, 2024. Early adoption is permitted. The Company adopted ASU 2023-07 during the year ended December 31, 2024. Refer to </w:t>
      </w:r>
      <w:r>
        <w:rPr>
          <w:rFonts w:ascii="Times New Roman" w:cs="Times New Roman" w:eastAsia="Times New Roman" w:hAnsi="Times New Roman"/>
          <w:sz w:val="18"/>
          <w:szCs w:val="18"/>
          <w:u w:val="single" w:color="auto"/>
          <w:color w:val="0000FF"/>
        </w:rPr>
        <w:t>Footnote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Guidance Issued But Not Adopted at December 31, 2024</w:t>
      </w:r>
    </w:p>
    <w:p>
      <w:pPr>
        <w:spacing w:after="0" w:line="1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to improve the transparency of income tax disclosures by requiring consistent categories and greater disaggregation of information in the rate reconciliation and income taxes paid disaggregated by jurisdiction. The amendments are effective for fiscal years beginning after December 15, 2024 and early adoption is permitted. The amendments in this update should be applied on a prospective basis. Retroactive application is permitted. The Company will adopt the new standard effective January 1, 2025 and is currently evaluating the impact that this standard will have on its Consolidated Financial Statements and related disclosures.</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The ASU requires additional disclosure of the nature of certain expenses in the notes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The update is effective for fiscal years beginning after December 15, 2026, and interim periods within fiscal years beginning after December 15, 2027. Early adoption is permitted. The ASU is required to be applied prospectively with the option for retrospective application. The Company is currently evaluating the impact that this standard will have on its Consolidated Financial Statements and related disclosures.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has one reportable segment 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as such, the disaggregation of revenue below reconciles directly to its unique reportable segment. The following table presents the Company's revenue disaggregated by solution group.</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98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By solution group:</w:t>
            </w: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8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9"/>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Content &amp; Ad Measurement</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Syndicated Audience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260,654</w:t>
            </w:r>
          </w:p>
        </w:tc>
        <w:tc>
          <w:tcPr>
            <w:tcW w:w="48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276,101</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282,238</w:t>
            </w: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Cross-Platform</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40,470</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25,241</w:t>
            </w:r>
          </w:p>
        </w:tc>
        <w:tc>
          <w:tcPr>
            <w:tcW w:w="0" w:type="dxa"/>
            <w:vAlign w:val="bottom"/>
          </w:tcPr>
          <w:p>
            <w:pPr>
              <w:spacing w:after="0"/>
              <w:rPr>
                <w:sz w:val="1"/>
                <w:szCs w:val="1"/>
                <w:color w:val="auto"/>
              </w:rPr>
            </w:pPr>
          </w:p>
        </w:tc>
      </w:tr>
      <w:tr>
        <w:trPr>
          <w:trHeight w:val="207"/>
        </w:trPr>
        <w:tc>
          <w:tcPr>
            <w:tcW w:w="6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Content &amp; Ad Measurement</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301,124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309,904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307,479</w:t>
            </w: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Research &amp; Insight Solutions</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54,923</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61,439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68,944</w:t>
            </w:r>
          </w:p>
        </w:tc>
        <w:tc>
          <w:tcPr>
            <w:tcW w:w="0" w:type="dxa"/>
            <w:vAlign w:val="bottom"/>
          </w:tcPr>
          <w:p>
            <w:pPr>
              <w:spacing w:after="0"/>
              <w:rPr>
                <w:sz w:val="1"/>
                <w:szCs w:val="1"/>
                <w:color w:val="auto"/>
              </w:rPr>
            </w:pPr>
          </w:p>
        </w:tc>
      </w:tr>
      <w:tr>
        <w:trPr>
          <w:trHeight w:val="210"/>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356,047</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371,343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376,423</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 disaggregated by geographical market and timing of transfer of products and services. The Company attributes revenue to geographical markets based on the location of the customer.</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By geographical market</w:t>
            </w: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318,364</w:t>
            </w:r>
          </w:p>
        </w:tc>
        <w:tc>
          <w:tcPr>
            <w:tcW w:w="46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335,785</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337,862</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Europe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19,007</w:t>
            </w: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Latin America</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7,843</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Canada</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7,604</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3,946</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4,107</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356,047</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371,343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376,423</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By timing of revenue recognition</w:t>
            </w:r>
            <w:r>
              <w:rPr>
                <w:rFonts w:ascii="Times New Roman" w:cs="Times New Roman" w:eastAsia="Times New Roman" w:hAnsi="Times New Roman"/>
                <w:sz w:val="16"/>
                <w:szCs w:val="16"/>
                <w:color w:val="auto"/>
              </w:rPr>
              <w: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Products and services transferred over time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308,613</w:t>
            </w:r>
          </w:p>
        </w:tc>
        <w:tc>
          <w:tcPr>
            <w:tcW w:w="460" w:type="dxa"/>
            <w:vAlign w:val="bottom"/>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315,093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312,723</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Products and services transferred at a point in time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47,434</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56,250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63,700</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356,047</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371,343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376,423</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contract assets, contract liabilities and customer advances from contracts with customers: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63,826</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and non-current contract assets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8,833</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contract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48,912</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customer advances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11,076</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contract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 and non-current contract assets as of December 31, 2024 decreased from the prior year primarily due to increased contract billings ahead of revenue recognition for license fees in connection with multi-year agreements.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in the current contract liabilities balances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8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recognized that was included in the opening contract liabilities balance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(49,470)</w:t>
            </w:r>
          </w:p>
        </w:tc>
        <w:tc>
          <w:tcPr>
            <w:tcW w:w="0" w:type="dxa"/>
            <w:vAlign w:val="bottom"/>
          </w:tcPr>
          <w:p>
            <w:pPr>
              <w:spacing w:after="0"/>
              <w:rPr>
                <w:sz w:val="1"/>
                <w:szCs w:val="1"/>
                <w:color w:val="auto"/>
              </w:rPr>
            </w:pPr>
          </w:p>
        </w:tc>
      </w:tr>
      <w:tr>
        <w:trPr>
          <w:trHeight w:val="210"/>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received or amounts billed in advance and not recognized as revenue</w:t>
            </w:r>
          </w:p>
        </w:tc>
        <w:tc>
          <w:tcPr>
            <w:tcW w:w="320" w:type="dxa"/>
            <w:vAlign w:val="bottom"/>
          </w:tcPr>
          <w:p>
            <w:pPr>
              <w:spacing w:after="0"/>
              <w:rPr>
                <w:sz w:val="18"/>
                <w:szCs w:val="18"/>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41,488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44,349</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approximately $240 million of revenue is expected to be recognized from remaining performance obligations that are unsatisfied (or partially unsatisfied) for non-cancelable contracts with an original expected duration of longer than one year. The Company expects to recognize revenue on approximately 53% of these remaining performance obligations in 2025, and approximately 30% in 2026, with the remainder recognized thereafter.</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Redeemable Preferred Stock and Stockholders' Equity (Deficit)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Issuance of Preferred Stock</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10, 2021 (the "Closing Date"), the Company entered into separate Securities Purchase Agreements with each of Charter Communications Holding Company, LLC ("Charter"), Qurate Retail, Inc. ("Qurate") and Pine Investor, LLC ("Pine") (the "Securities Purchase Agreements"). The issuance of securities pursuant to the Securities Purchase Agreements (the "Transactions") and related matters were approved by the Company's stockholders on March 9, 2021 and completed on March 10, 2021. At the closing of the Transactions, the Company issued and sold (a) to Charter, 27,509,203 shares of Preferred Stock in exchange for $68.0 million, (b) to Qurate, 27,509,203 shares of Preferred Stock in exchange for $68.0 million and (c) to Pine, 27,509,203 shares of Preferred Stock in exchange for $68.0 million. The shares were issued at a par value of $0.001. Net proceeds from the Transactions totaled $187.9 million after deducting issuance costs.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16, 2023, Qurate sold 27,509,203 shares of Preferred Stock to Liberty Broadband Corporation ("Liberty") in a privately negotiated transaction.</w:t>
      </w: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annual meeting of stockholders of the Company held on June 15, 2023 (the "Annual Meeting"), the Company's stockholders approved proposals permitting the payment of annual dividends on the Preferred Stock in the form of cash, shares of Common Stock, additional shares of Preferred Stock, or a combination thereof, subject to conditions set forth in the Certificate of Designations governing the Preferred Stock. On the same date, each holder of Preferred Stock waived its right to receive on June 30, 2023 the annual dividends otherwise payable by the Company on that date (the "June 2023 Waivers"). Upon receipt of the June 2023 Waivers, the Company's Board elected to defer the June 30, 2023 payment. Under the June 2023 Waivers and the Certificate of Designations, the deferred dividends would accrue and accumulate at a rate of 9.5% per year from June 30, 2023 until declared and paid, with payment to occur on or before December 31, 2023.</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26, 2023, each holder of Preferred Stock waived its right to receive the deferred dividends on or before December 31, 2023 (the "December Waivers"). Under the December Waivers and the Certificate of Designations, the deferred dividends would continue to accrue at a rate of 9.5% per year until declared and paid, with payment to occur on or before June 30, 2024.</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27, 2024, each holder of Preferred Stock further waived its right to receive the deferred dividends on or before June 30, 2024 (the "June 2024 Waivers"). In addition, each holder waived its right to receive on June 30, 2024 the annual dividends otherwise payable on that date for the dividend period ending June 29, 2024. Under the June 2024 Waivers and the Certificate of Designations, the deferred dividends for both periods (2023 and 2024) would continue to accrue and accumulate at a rate of 9.5% per year until declared and paid, with payment to occur on or before July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Issuance of Preferred Stock</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24, 2024 (the "2024 Issuance Date"), the Company issued 13,257,294 shares of Preferred Stock to the existing holders of Preferred Stock in exchange for cancellation of the Company's obligation to pay the deferred dividends totaling $32.8 million to such holders for annual dividend periods ended in 2023 and 2024. As of the 2024 Issuance Date, the additional shares of Preferred Stock were convertible into 662,862 shares of the Company's Common Stock, representing an effective conversion price of $49.438 per share for the canceled dividend obligation.</w:t>
      </w:r>
    </w:p>
    <w:p>
      <w:pPr>
        <w:spacing w:after="0" w:line="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additional shares of Preferred Stock have the same terms and conditions as the Preferred Stock previously issued by the Company, including that holders are entitled to cumulative dividends at a rate of 7.5% per annum, payable annually in arrears and subject to increase under certain circumstances.</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issuance, the Company and the holders of Preferred Stock also entered into an amendment to the Stockholders Agreement. Among other things, the amendment reduced the $100.0 million Special Dividend threshold set forth in the Stockholders Agreement by an amount equal to the liquidation preference of the additional shares of Preferred Stock ($32.8 million). After further reducing the threshold by annual dividends paid in prior years, the current Special Dividend threshold is $47.0 million.</w:t>
      </w:r>
    </w:p>
    <w:p>
      <w:pPr>
        <w:spacing w:after="0" w:line="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the Consolidated Financial Statements, the 2024 issuance of Preferred Stock was deemed to be a payment of the deferred dividends in the form of Preferred Stock, and the cancellation of the deferred dividend balance constituted an extinguishment of the liability. For extinguishments of a liability, the difference between the requisition price and the net carrying amount of the liability being extinguished should be recognized as a gain or loss when the liability is extinguished. Therefore, the Company estimated the fair value using a binomial lattice model, a form of the income approach, utilizing Level 3 unobservable inputs. The Company used significant inputs and assumptions which included the price and expected volatility of the Common Stock, risk-adjusted discount rate, risk-free rate, expected term, deferred dividends and the timing and probability of a Special Dividend being called and paid as of the 2024 Issuance Date. The Company recorded the fair value of the additional shares of Preferred Stock, net of issuance costs of $19.6 million within mezzanine equity. The remaining $13.0 million of the cancelled dividend balance was recognized in additional paid-in capital on the Consolidated Balance Sheet, because gains in transactions with related parties are recognized as equity contributions.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Stock and related agreements include the following rights: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Registration Rights</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Closing Date, the Company entered into a Registration Rights Agreement (the "RRA") with the holders of the Preferred Stock (together with any other party that may become a party to the RRA), pursuant to which, among other things, and on the terms and subject to certain limitations set forth therein, the Company was obligated to file a registration statement registering the sale or distribution of shares of Preferred</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 or Common Stock held by any holder, including any shares of Common Stock acquired by any holder pursuant to the conversion of the Preferred Stock, and any other securities issued or issuable with respect to any such shares of Common Stock or Preferred Stock by way of share split, share dividend, distribution, recapitalization, merger, exchange, replacement or similar event or otherwise (the "Registrable Securities"). In addition, pursuant to the RRA, the holders have the right to require the Company, subject to certain limitations, to effect a sale of any or all of their Registrable Securities by means of an underwritten offering or an underwritten block trade or bought deal.</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30, 2021, the Company filed a registration statement on Form S-3 with respect to the Registrable Securities. The registration statement on Form S-3 became effective on September 21, 2021. The Company is obligated to file an additional registration statement with respect to the shares of Preferred Stock issued in 2024 (and the shares of Common Stock issuable upon conversion of such Preferred Stock) in accordance with the terms of the RRA and plans to file that registration statement in 2025.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Voting Rights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holders of the Preferred Stock are entitled to vote as a single class with the holders of the Common Stock, with a vote equal to the number of shares of Common Stock into which the Preferred Stock could be converted, except that the conversion rate for this purpose will be equal to the product of the applicable conversion factor and 0.98091271. Each holder of Preferred Stock is subject to a voting threshold, which limits such holder's voting rights in the event that the holder's Preferred Stock represents voting rights that exceed 16.66% of the Company's Common Stock (including the Preferred Stock on an as-converted basis).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 Rights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holders of Preferred Stock are entitled to participate in all dividends declared on the Common Stock on an as-converted basis and are also entitled to a cumulative dividend at the rate of 7.5% per annum, payable annually in arrears (on June 30 of each year) and subject to increase under certain specified circumstances. The annual dividend accrues on a daily basis from and including the issuance date of such shares, whether or not declared. In the event the annual dividends are not paid on the annual payment date, the dividends otherwise payable on such date shall continue to accrue and cumulate at a rate of 9.5% per annum, until such failure is cured.</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holders of Preferred Stock are entitled to request, and the Company will take all actions reasonably necessary to pay, a one-time dividend ("Special Dividend") equal to the highest dividend that the Company's Board determines can be paid at the applicable time (or a lesser amount agreed upon by the holders), subject to additional conditions and limitations set forth in a Stockholders Agreement entered into by the Company and the holders on the Closing Date (the "Stockholders Agreement"). As set forth in the Stockholders Agreement, the Company may be obligated to obtain debt financing in order to effectuate the Special Dividend.</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2022, in accordance with the Certificate of Designations, the Company paid cash dividends totaling $15.5 million to the holders of the Preferred Stock, representing dividends accrued for the period from June 30, 2021 through June 29, 2022. On July 24, 2024, the Company issued 13,257,294 shares of Preferred Stock to cancel $32.8 million of accrued dividends as described above. As of December 31, 2024, accumulated dividends paid totaled $20.3 million.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Anti-Dilution Adjustments</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Preferred Stock is subject to anti-dilution adjustment upon the occurrence of certain events, including issuance of certain dividends or distributions to holders of Common Stock, split or combination of Common Stock, reclassification of Common Stock into a greater or lesser number of shares, or certain repurchases of Common Stock, subject to limitations set forth in the Certificate of Designations.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Liquidation Preference and Change of Control Provisions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Preferred Stock ranks senior to the Common Stock with respect to dividend rights and rights on the distribution of assets in the event of a liquidation, dissolution or winding up of the affairs of the Company, and ranks junior to secured and unsecured indebtedness. The Preferred Stock has a liquidation preference equal to the higher of (i) the initial purchase price, increased by accrued dividends per share, and (ii) the amount per share of Preferred Stock that a holder would have received if such holder, immediately prior to such liquidation, dissolution or winding up of the affairs of the Company, converted such share into Common Stock.</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Preferred Stock includes a change of control put option which allows the holders of the Preferred Stock to require the Company to repurchase such holders' shares at a purchase price equal to the initial purchase price, increased by accrued dividends. The change of control put option was determined to be a derivative liability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 of December 31, 2024, the probability of a change of control was determined to be remote, and the fair value of the change of control derivative was determined to be negligible. To the extent the holders of the Preferred Stock do not exercise the put option in a covered change of control, the Company has the right to redeem the remaining Preferred Stock at a redemption price equal to the initial purchase price, increased by accrued dividends.</w:t>
      </w:r>
    </w:p>
    <w:p>
      <w:pPr>
        <w:spacing w:after="0" w:line="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above, the Preferred Stock is contingently redeemable upon certain deemed liquidation events, such as a change in control. Because a deemed liquidation event could constitute a redemption event outside of the Company's control, all shares of Preferred Stock have been presented outside of permanent equity in mezzanine equity on the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Conversion Provisions</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Preferred Stock is convertible at the option of the holders at any time into a number of shares of Common Stock based on a conversion rate set in accordance with the Certificate of Designations of the Preferred Stock. The conversion rate is calculated as the product of (i) the conversion factor and (ii) the quotient of (A) the sum of the initial purchase price and accrued dividends with respect to each share of Preferred</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 divided by (B) the initial purchase price. The conversion right is subject to certain anti-dilution adjustments and customary provisions related to partial dividend periods. Due to the Reverse Stock Split effected on December 20, 2023, the conversion factor was adjusted to 0.05 pursuant to the Certificate of Designations of the Preferred Stock. As of December 31, 2024, each share of Preferred Stock was convertible into 0.051892 shares of Common Stock, with such assumed conversion rate scheduled to return to 0.05 upon payment of accrued dividends.</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any time after the fifth anniversary of the Closing Date, the Company may elect to convert all of the outstanding shares of Preferred Stock into shares of Common Stock if (i) the closing sale price of the Company's Common Stock is greater than 140% of the conversion price as of such time, as may be adjusted pursuant to the Certificate of Designations, for certain periods, and (ii) the pro rata share of an aggregate of $100.0 million in dividends has been paid with respect to each share of Preferred Stock that was outstanding on the Closing Date and remains outstanding.</w:t>
      </w:r>
    </w:p>
    <w:p>
      <w:pPr>
        <w:spacing w:after="0" w:line="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no shares of Preferred Stock have been converted into Common Stock, and accrued dividends for the Preferred Stock totaled $9.0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Issuance and Sale of Common Stock and Warrants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23, 2019, the Company entered into a Securities Purchase Agreement with CVI Investments, Inc. ("CVI"), pursuant to which CVI agreed to purchase (i) 136,425 shares of Common Stock (the "Initial Shares"), at a price of $146.60 per share and (ii) Series A Warrants, Series B-1 Warrants, Series B-2 Warrants and Series C Warrants, for aggregate gross proceeds of $20.0 million (the "Private Placement"). The Private Placement closed on June 26, 2019 (the "CVI Closing Date"). The Series B-1 Warrants and Series B-2 Warrants expired in 2020.</w:t>
      </w:r>
    </w:p>
    <w:p>
      <w:pPr>
        <w:spacing w:after="0" w:line="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Series C Warrants were exercised on October 10, 2019. As a result of this exercise, the Company issued 136,425 shares of Common Stock to CVI on October 14, 2019. In addition, the number of shares issuable under the Series A Warrants was increased by 136,425.</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Series A Warrants were exercisable by the holders for a period of five years from the CVI Closing Date and were exercisable into 272,851 shares of Common Stock, equal to the Initial Shares plus the number of shares issued pursuant to the exercise of the Series C Warrants (described above), at an adjusted exercise price equal to $15.83. The Series A Warrants expired on June 26,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2013 Stock Option/Issuance Plan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16, 2021, the Company assumed certain equity awards outstanding under the Shareablee, Inc. 2013 Stock Option/Stock Issuance Plan (the "2013 Plan") in connection with the acquisition of Shareablee. The Company registered the securities issuable under the 2013 Plan with the SEC on December 23, 2021. The 2013 Plan expired on June 21, 2023. As a result, there are no shares remaining available for future equity awards under the 2013 Plan as of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Equity and Incentive Compensation Plan</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stockholders approved the 2018 Equity and Incentive Compensation Plan (the "2018 Plan") at the Company's 2018 Annual Meeting, approved an amendment and restatement of the 2018 Plan at the Company's 2020 Annual Meeting, and approved further amendments of the 2018 Plan at the Company's 2022, 2023 and 2024 Annual Meetings. Under the 2018 Plan, as amended, the Company may grant option rights, appreciation rights, restricted stock awards, restricted stock units, performance shares and performance units up to 2,792,500 shares of Common Stock. The aggregate number of shares of Common Stock available will be reduced by: (i) one share of Common Stock for every one share of Common Stock subject to an award of option rights or appreciation rights granted under the 2018 Plan and (ii) two shares of Common Stock for every one share of Common Stock subject to an award other than option rights or appreciation rights granted under the 2018 Plan. If any award granted under the 2018 Plan (in whole or in part) is canceled or forfeited, expires, is settled in cash, or is unearned, the shares of Common Stock subject to such award will, to the extent of such cancellation, forfeiture, expiration, cash settlement, or unearned amount, again be available at a rate of one share of Common Stock for every one share of Common Stock subject to awards of option rights or appreciation rights and two shares of Common Stock for every one share of Common Stock subject to awards other than of option rights or appreciation rights. The Company registered the securities under the 2018 Plan with the SEC effective June 1, 2018. The maximum number of shares available for future issuance under the 2018 Plan as of December 31, 2024 (excluding outstanding awards) is 837,438.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Compensation Committee (or Board of Directors, as applicable) approved and awarded 47,400 options for the year ended December 31, 2022 under the 2018 Plan to employees. No options were approved and awarded for the years ended December 31, 2024 and 2023 under the 2018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values of options at the date of grant, or when assumed by the Company, were estimated using the Black-Scholes option pricing model utilizing the following assumptions: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93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190"/>
        </w:trPr>
        <w:tc>
          <w:tcPr>
            <w:tcW w:w="93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2"/>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93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Dividend yield </w:t>
            </w:r>
            <w:r>
              <w:rPr>
                <w:rFonts w:ascii="Times New Roman" w:cs="Times New Roman" w:eastAsia="Times New Roman" w:hAnsi="Times New Roman"/>
                <w:sz w:val="21"/>
                <w:szCs w:val="21"/>
                <w:color w:val="auto"/>
                <w:vertAlign w:val="superscript"/>
              </w:rPr>
              <w:t>(1)</w:t>
            </w:r>
          </w:p>
        </w:tc>
        <w:tc>
          <w:tcPr>
            <w:tcW w:w="1800" w:type="dxa"/>
            <w:vAlign w:val="bottom"/>
            <w:gridSpan w:val="2"/>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rPr>
              <w:t>0.0%</w:t>
            </w:r>
          </w:p>
        </w:tc>
      </w:tr>
      <w:tr>
        <w:trPr>
          <w:trHeight w:val="216"/>
        </w:trPr>
        <w:tc>
          <w:tcPr>
            <w:tcW w:w="93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Expected volatility </w:t>
            </w:r>
            <w:r>
              <w:rPr>
                <w:rFonts w:ascii="Times New Roman" w:cs="Times New Roman" w:eastAsia="Times New Roman" w:hAnsi="Times New Roman"/>
                <w:sz w:val="21"/>
                <w:szCs w:val="21"/>
                <w:color w:val="auto"/>
                <w:vertAlign w:val="superscript"/>
              </w:rPr>
              <w:t>(2)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- 69.2%</w:t>
            </w:r>
          </w:p>
        </w:tc>
      </w:tr>
      <w:tr>
        <w:trPr>
          <w:trHeight w:val="216"/>
        </w:trPr>
        <w:tc>
          <w:tcPr>
            <w:tcW w:w="93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Risk-free interest rate </w:t>
            </w:r>
            <w:r>
              <w:rPr>
                <w:rFonts w:ascii="Times New Roman" w:cs="Times New Roman" w:eastAsia="Times New Roman" w:hAnsi="Times New Roman"/>
                <w:sz w:val="21"/>
                <w:szCs w:val="21"/>
                <w:color w:val="auto"/>
                <w:vertAlign w:val="superscript"/>
              </w:rPr>
              <w:t>(3)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- 4.2%</w:t>
            </w:r>
          </w:p>
        </w:tc>
      </w:tr>
      <w:tr>
        <w:trPr>
          <w:trHeight w:val="281"/>
        </w:trPr>
        <w:tc>
          <w:tcPr>
            <w:tcW w:w="9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Expected life of options (in years) </w:t>
            </w:r>
            <w:r>
              <w:rPr>
                <w:rFonts w:ascii="Times New Roman" w:cs="Times New Roman" w:eastAsia="Times New Roman" w:hAnsi="Times New Roman"/>
                <w:sz w:val="21"/>
                <w:szCs w:val="21"/>
                <w:color w:val="auto"/>
                <w:vertAlign w:val="superscript"/>
              </w:rPr>
              <w:t>(4)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- 6.25</w:t>
            </w:r>
          </w:p>
        </w:tc>
      </w:tr>
    </w:tbl>
    <w:p>
      <w:pPr>
        <w:ind w:left="160" w:hanging="152"/>
        <w:spacing w:after="0" w:line="214" w:lineRule="auto"/>
        <w:tabs>
          <w:tab w:leader="none" w:pos="160"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has never declared or paid a cash dividend on its Common Stock and has no plans to pay cash dividends on Common Stock in the foreseeable future.</w:t>
      </w:r>
    </w:p>
    <w:p>
      <w:pPr>
        <w:spacing w:after="0" w:line="3" w:lineRule="exact"/>
        <w:rPr>
          <w:rFonts w:ascii="Times New Roman" w:cs="Times New Roman" w:eastAsia="Times New Roman" w:hAnsi="Times New Roman"/>
          <w:sz w:val="19"/>
          <w:szCs w:val="19"/>
          <w:color w:val="auto"/>
          <w:vertAlign w:val="superscript"/>
        </w:rPr>
      </w:pPr>
    </w:p>
    <w:p>
      <w:pPr>
        <w:ind w:firstLine="8"/>
        <w:spacing w:after="0" w:line="234" w:lineRule="auto"/>
        <w:tabs>
          <w:tab w:leader="none" w:pos="146" w:val="left"/>
        </w:tabs>
        <w:numPr>
          <w:ilvl w:val="0"/>
          <w:numId w:val="4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Volatility is a measure of the amount by which a financial variable such as a share price has fluctuated (historical volatility) or is expected to fluctuate (expected volatility) during a period. The Company considered the historical volatility of its stock price over a term similar to the expected life of the options in determining expected volatility.</w:t>
      </w:r>
    </w:p>
    <w:p>
      <w:pPr>
        <w:spacing w:after="0" w:line="1" w:lineRule="exact"/>
        <w:rPr>
          <w:rFonts w:ascii="Times New Roman" w:cs="Times New Roman" w:eastAsia="Times New Roman" w:hAnsi="Times New Roman"/>
          <w:sz w:val="17"/>
          <w:szCs w:val="17"/>
          <w:color w:val="auto"/>
          <w:vertAlign w:val="superscript"/>
        </w:rPr>
      </w:pPr>
    </w:p>
    <w:p>
      <w:pPr>
        <w:ind w:left="160" w:hanging="152"/>
        <w:spacing w:after="0"/>
        <w:tabs>
          <w:tab w:leader="none" w:pos="160" w:val="left"/>
        </w:tabs>
        <w:numPr>
          <w:ilvl w:val="0"/>
          <w:numId w:val="4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Company used rates on the grant date of zero-coupon government bonds with maturities over periods covering the term of the awards.</w:t>
      </w:r>
    </w:p>
    <w:p>
      <w:pPr>
        <w:spacing w:after="0" w:line="11" w:lineRule="exact"/>
        <w:rPr>
          <w:rFonts w:ascii="Times New Roman" w:cs="Times New Roman" w:eastAsia="Times New Roman" w:hAnsi="Times New Roman"/>
          <w:sz w:val="9"/>
          <w:szCs w:val="9"/>
          <w:color w:val="auto"/>
        </w:rPr>
      </w:pPr>
    </w:p>
    <w:p>
      <w:pPr>
        <w:ind w:right="20" w:firstLine="8"/>
        <w:spacing w:after="0" w:line="228" w:lineRule="auto"/>
        <w:tabs>
          <w:tab w:leader="none" w:pos="149"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is the period of time that the options granted are expected to remain outstanding. Options under the Company's plans generally have a contractual term of 10 years and generally must be exercised within 30 to 90 days following termination of service.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options granted, exercised, forfeited and expired during the years ended December 31, 2024, 2023 and 2022 is included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30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5"/>
        </w:trPr>
        <w:tc>
          <w:tcPr>
            <w:tcW w:w="8320" w:type="dxa"/>
            <w:vAlign w:val="bottom"/>
          </w:tcPr>
          <w:p>
            <w:pPr>
              <w:spacing w:after="0"/>
              <w:rPr>
                <w:sz w:val="16"/>
                <w:szCs w:val="16"/>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30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14"/>
        </w:trPr>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as of December 31, 2021</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89,152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w:t>
            </w:r>
          </w:p>
        </w:tc>
      </w:tr>
      <w:tr>
        <w:trPr>
          <w:trHeight w:val="213"/>
        </w:trPr>
        <w:tc>
          <w:tcPr>
            <w:tcW w:w="8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Options 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19"/>
        </w:trPr>
        <w:tc>
          <w:tcPr>
            <w:tcW w:w="8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Options 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r>
      <w:tr>
        <w:trPr>
          <w:trHeight w:val="213"/>
        </w:trPr>
        <w:tc>
          <w:tcPr>
            <w:tcW w:w="8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Options 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146.60</w:t>
            </w:r>
          </w:p>
        </w:tc>
      </w:tr>
      <w:tr>
        <w:trPr>
          <w:trHeight w:val="219"/>
        </w:trPr>
        <w:tc>
          <w:tcPr>
            <w:tcW w:w="8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Options 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291.40</w:t>
            </w:r>
          </w:p>
        </w:tc>
      </w:tr>
      <w:tr>
        <w:trPr>
          <w:trHeight w:val="207"/>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outstanding as of December 31,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114,199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48.40</w:t>
            </w:r>
          </w:p>
        </w:tc>
      </w:tr>
      <w:tr>
        <w:trPr>
          <w:trHeight w:val="219"/>
        </w:trPr>
        <w:tc>
          <w:tcPr>
            <w:tcW w:w="8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Options 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r>
      <w:tr>
        <w:trPr>
          <w:trHeight w:val="213"/>
        </w:trPr>
        <w:tc>
          <w:tcPr>
            <w:tcW w:w="8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Options 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w:t>
            </w:r>
          </w:p>
        </w:tc>
      </w:tr>
      <w:tr>
        <w:trPr>
          <w:trHeight w:val="219"/>
        </w:trPr>
        <w:tc>
          <w:tcPr>
            <w:tcW w:w="8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Options 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(4,626)</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96.42</w:t>
            </w:r>
          </w:p>
        </w:tc>
      </w:tr>
      <w:tr>
        <w:trPr>
          <w:trHeight w:val="207"/>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outstanding as of December 31, 2023</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108,663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w:t>
            </w:r>
          </w:p>
        </w:tc>
      </w:tr>
      <w:tr>
        <w:trPr>
          <w:trHeight w:val="219"/>
        </w:trPr>
        <w:tc>
          <w:tcPr>
            <w:tcW w:w="8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Options 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r>
      <w:tr>
        <w:trPr>
          <w:trHeight w:val="213"/>
        </w:trPr>
        <w:tc>
          <w:tcPr>
            <w:tcW w:w="8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Options 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w:t>
            </w:r>
          </w:p>
        </w:tc>
      </w:tr>
      <w:tr>
        <w:trPr>
          <w:trHeight w:val="219"/>
        </w:trPr>
        <w:tc>
          <w:tcPr>
            <w:tcW w:w="8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Options 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102.19</w:t>
            </w:r>
          </w:p>
        </w:tc>
      </w:tr>
      <w:tr>
        <w:trPr>
          <w:trHeight w:val="207"/>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Options outstanding as of December 31, 2024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99,469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42.15</w:t>
            </w:r>
          </w:p>
        </w:tc>
      </w:tr>
      <w:tr>
        <w:trPr>
          <w:trHeight w:val="235"/>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exercisable as of December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75,269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outstanding, and exercisable, as of December 31,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80" w:type="dxa"/>
            <w:vAlign w:val="bottom"/>
          </w:tcPr>
          <w:p>
            <w:pPr>
              <w:jc w:val="center"/>
              <w:ind w:left="26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080" w:type="dxa"/>
            <w:vAlign w:val="bottom"/>
          </w:tcPr>
          <w:p>
            <w:pPr>
              <w:jc w:val="center"/>
              <w:ind w:left="26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left="345"/>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center"/>
              <w:ind w:left="248"/>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1"/>
                <w:szCs w:val="11"/>
                <w:color w:val="auto"/>
              </w:rPr>
            </w:pPr>
          </w:p>
        </w:tc>
        <w:tc>
          <w:tcPr>
            <w:tcW w:w="12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960" w:type="dxa"/>
            <w:vAlign w:val="bottom"/>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98"/>
        </w:trPr>
        <w:tc>
          <w:tcPr>
            <w:tcW w:w="242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960" w:type="dxa"/>
            <w:vAlign w:val="bottom"/>
          </w:tcPr>
          <w:p>
            <w:pPr>
              <w:jc w:val="center"/>
              <w:ind w:left="36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4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15"/>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$11.40 - $50.00</w:t>
            </w:r>
          </w:p>
        </w:tc>
        <w:tc>
          <w:tcPr>
            <w:tcW w:w="14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84,304</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38.14</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6.04</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60,104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33.62</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0" w:type="dxa"/>
            <w:vAlign w:val="bottom"/>
          </w:tcPr>
          <w:p>
            <w:pPr>
              <w:spacing w:after="0"/>
              <w:rPr>
                <w:sz w:val="1"/>
                <w:szCs w:val="1"/>
                <w:color w:val="auto"/>
              </w:rPr>
            </w:pPr>
          </w:p>
        </w:tc>
      </w:tr>
      <w:tr>
        <w:trPr>
          <w:trHeight w:val="213"/>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$64.20 - $87.20</w:t>
            </w: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15,165</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64.45</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4.87</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15,165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64.45</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35"/>
        </w:trPr>
        <w:tc>
          <w:tcPr>
            <w:tcW w:w="24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99,469</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42.15</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5.86</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75,269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39.83</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intrinsic value of exercised stock options is calculated based on the difference between the exercise price and the quoted market price of the Company's Common Stock as of the close of the exercise date. The aggregate intrinsic value for options exercised was zero, zero and $0.1 million for the years ended December 31, 2024, 2023 and 2022, respectively. The aggregate intrinsic value for all options exercisable was zero, zero and $0.1 million under the Company's stock plans as of December 31, 2024, 2023 and 2022, respectively. The aggregate intrinsic value for all options outstanding was zero, zero and $0.1 million under the Company's stock plans as of December 31, 2024, 2023 and 2022, respectively.</w:t>
      </w:r>
    </w:p>
    <w:p>
      <w:pPr>
        <w:spacing w:after="0" w:line="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total unrecognized compensation expense related to outstanding, but not yet exercisable, options is $0.4 million, which the Company expects to recognize over a weighted-average vesting period of approximately 1.5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outstanding stock awards are comprised of RSUs, including time-based, performance-based and market-based RSUs.</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2024, the Company's Compensation Committee (or Board of Directors, as applicable) approved and awarded 229,795 time-based RSUs (of which 119,720 RSUs related to the settlement of an accrued 2023 annual incentive plan liability and vested immediately) under the 2018 Plan to employees and directors of the Company. No market-based RSUs were awarded for the year ended December 31, 2024.</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2023, the Company's Compensation Committee (or Board of Directors, as applicable) approved and awarded 234,171 time-based RSUs (of which 136,525 RSUs related to the settlement of an accrued 2022 annual incentive plan liability and vested immediately) under the 2018 Plan and the 2013 Plan to employees and directors of the Company. No market-based RSUs were awarded for the year ended December 31, 2023.</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the Company's Compensation Committee (or Board of Directors, as applicable) approved and awarded 86,929 time-based RSUs (of which 33,965 RSUs related to the settlement of an accrued 2021 annual incentive plan liability and vested immediately) and 31,000 market-based RSUs under the 2018 Plan to employees and directors of the Company. The market-based RSUs vest over 10 years and are contingent on certain stock-price hurdles.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stock awards granted, vested and forfeited during the years ended December 31, 2024, 2023 and 2022 is presented as follows. RSU awards with undelivered shares are classified as unvested until the date of delivery of the shares.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37"/>
        </w:trPr>
        <w:tc>
          <w:tcPr>
            <w:tcW w:w="83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81"/>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60"/>
        </w:trPr>
        <w:tc>
          <w:tcPr>
            <w:tcW w:w="8320" w:type="dxa"/>
            <w:vAlign w:val="bottom"/>
          </w:tcPr>
          <w:p>
            <w:pPr>
              <w:spacing w:after="0"/>
              <w:rPr>
                <w:sz w:val="13"/>
                <w:szCs w:val="13"/>
                <w:color w:val="auto"/>
              </w:rPr>
            </w:pPr>
          </w:p>
        </w:tc>
        <w:tc>
          <w:tcPr>
            <w:tcW w:w="150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60" w:type="dxa"/>
            <w:vAlign w:val="bottom"/>
          </w:tcPr>
          <w:p>
            <w:pPr>
              <w:spacing w:after="0"/>
              <w:rPr>
                <w:sz w:val="13"/>
                <w:szCs w:val="13"/>
                <w:color w:val="auto"/>
              </w:rPr>
            </w:pPr>
          </w:p>
        </w:tc>
        <w:tc>
          <w:tcPr>
            <w:tcW w:w="1260" w:type="dxa"/>
            <w:vAlign w:val="bottom"/>
          </w:tcPr>
          <w:p>
            <w:pPr>
              <w:jc w:val="center"/>
              <w:ind w:right="81"/>
              <w:spacing w:after="0" w:line="160" w:lineRule="exact"/>
              <w:rPr>
                <w:sz w:val="20"/>
                <w:szCs w:val="20"/>
                <w:color w:val="auto"/>
              </w:rPr>
            </w:pPr>
            <w:r>
              <w:rPr>
                <w:rFonts w:ascii="Times New Roman" w:cs="Times New Roman" w:eastAsia="Times New Roman" w:hAnsi="Times New Roman"/>
                <w:sz w:val="14"/>
                <w:szCs w:val="14"/>
                <w:b w:val="1"/>
                <w:bCs w:val="1"/>
                <w:color w:val="auto"/>
              </w:rPr>
              <w:t>Grant-Date Fair</w:t>
            </w:r>
          </w:p>
        </w:tc>
      </w:tr>
      <w:tr>
        <w:trPr>
          <w:trHeight w:val="196"/>
        </w:trPr>
        <w:tc>
          <w:tcPr>
            <w:tcW w:w="832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60" w:type="dxa"/>
            <w:vAlign w:val="bottom"/>
          </w:tcPr>
          <w:p>
            <w:pPr>
              <w:spacing w:after="0"/>
              <w:rPr>
                <w:sz w:val="17"/>
                <w:szCs w:val="17"/>
                <w:color w:val="auto"/>
              </w:rPr>
            </w:pPr>
          </w:p>
        </w:tc>
        <w:tc>
          <w:tcPr>
            <w:tcW w:w="12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16"/>
        </w:trPr>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as of December 31, 2021</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201,511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75.20</w:t>
            </w:r>
          </w:p>
        </w:tc>
      </w:tr>
      <w:tr>
        <w:trPr>
          <w:trHeight w:val="213"/>
        </w:trPr>
        <w:tc>
          <w:tcPr>
            <w:tcW w:w="8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40.80</w:t>
            </w:r>
          </w:p>
        </w:tc>
      </w:tr>
      <w:tr>
        <w:trPr>
          <w:trHeight w:val="219"/>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80.20</w:t>
            </w:r>
          </w:p>
        </w:tc>
      </w:tr>
      <w:tr>
        <w:trPr>
          <w:trHeight w:val="213"/>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(12,554)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120.80</w:t>
            </w:r>
          </w:p>
        </w:tc>
      </w:tr>
      <w:tr>
        <w:trPr>
          <w:trHeight w:val="21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as of December 31,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53.80</w:t>
            </w:r>
          </w:p>
        </w:tc>
      </w:tr>
      <w:tr>
        <w:trPr>
          <w:trHeight w:val="213"/>
        </w:trPr>
        <w:tc>
          <w:tcPr>
            <w:tcW w:w="8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w:t>
            </w:r>
          </w:p>
        </w:tc>
      </w:tr>
      <w:tr>
        <w:trPr>
          <w:trHeight w:val="219"/>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w:t>
            </w:r>
          </w:p>
        </w:tc>
      </w:tr>
      <w:tr>
        <w:trPr>
          <w:trHeight w:val="213"/>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47.60</w:t>
            </w:r>
          </w:p>
        </w:tc>
      </w:tr>
      <w:tr>
        <w:trPr>
          <w:trHeight w:val="21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as of December 31,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42.38</w:t>
            </w:r>
          </w:p>
        </w:tc>
      </w:tr>
      <w:tr>
        <w:trPr>
          <w:trHeight w:val="213"/>
        </w:trPr>
        <w:tc>
          <w:tcPr>
            <w:tcW w:w="8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w:t>
            </w:r>
          </w:p>
        </w:tc>
      </w:tr>
      <w:tr>
        <w:trPr>
          <w:trHeight w:val="219"/>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w:t>
            </w:r>
          </w:p>
        </w:tc>
      </w:tr>
      <w:tr>
        <w:trPr>
          <w:trHeight w:val="213"/>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(20,987)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49.68</w:t>
            </w:r>
          </w:p>
        </w:tc>
      </w:tr>
      <w:tr>
        <w:trPr>
          <w:trHeight w:val="234"/>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as of December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381,631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for all unvested RSUs outstanding was $2.2 million, $5.2 million, and $5.4 million as of December 31, 2024, 2023, and 2022, respectively.</w:t>
      </w:r>
    </w:p>
    <w:p>
      <w:pPr>
        <w:spacing w:after="0" w:line="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compensation expense related to unvested RSUs was $1.4 million, which the Company expects to recognize over a weighted-average vesting period of approximately 2.5 years.</w:t>
      </w:r>
    </w:p>
    <w:p>
      <w:pPr>
        <w:spacing w:after="0" w:line="158"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Credit Agreement</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31, 2024, the Company entered into a senior secured financing agreement (the "Credit Agreement") among the Company as borrower, certain of its subsidiaries as guarantors, Blue Torch Finance LLC as administrative agent and collateral agent (in such capacities, the "Agent"), and the lenders from time to time party thereto. The Credit Agreement has a term of four years and matures in December 2028.</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provides a borrowing capacity of $60.0 million consisting of a $45.0 million term loan that was fully funded at closing (the "Term Loan") and a $15.0 million revolving credit facility that was unfunded at closing (the "Revolving Facility").</w:t>
      </w:r>
    </w:p>
    <w:p>
      <w:pPr>
        <w:spacing w:after="0" w:line="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Borrowings under the Credit Agreement are made at the Adjusted Term SOFR rate or the Reference Rate (each as defined in the Credit Agreement) and bear interest at a rate per annum equal to (i) the Adjusted Term SOFR rate, subject to a 3.0% floor, plus an applicable margin of 7.0% or (ii) the Reference Rate, subject to a 4.0% floor, plus an applicable margin of 6.0%. The Credit Agreement also provides for an unused commitment fee equal to 1.0% per annum of the unused Revolving Facility commitments. To the extent that an event of default exists and is continuing, at the election of the Agent, all amounts outstanding under the Credit Agreement will bear interest at 2.0% per annum above the rate and margin otherwise applicable thereto. The Company elected the Adjusted Term SOFR rate for the Term Loan as of December 31, 2024. As of December 31, 2024, the stated interest rate on the Term Loan was 11.59%.</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Except as described below, the Company can repay any amounts borrowed under the Revolving Facility prior to the maturity date without any premium or penalty other than customary SOFR breakage costs. Any voluntary or mandatory prepayments of the Term Loan (subject to customary exceptions for prepayments made with Excess Cash Flow (as defined in the Credit Agreement), the net cash proceeds of insurance and condemnation events, and the replacement of certain lenders in accordance with the Credit Agreement), as well as any payments of the Revolving Facility or the Term Loan in connection with an insolvency event, acceleration, other exercise of remedies or the early termination of the Credit Agreement, are subject to prepayment premiums as follows: (i) with respect to any such payment occurring on or before the first anniversary of the closing date, a 3.0% prepayment premium plus a make-whole amount based on U.S. Treasury notes yield, (ii) with respect to any such payment occurring after the first anniversary and on or before the second anniversary of the closing date, a 1.0% prepayment premium, and (iii) with respect to any such payment occurring after the second anniversary of the closing date, no prepayment premium.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loans are required to be prepaid from time to time with the net cash proceeds of certain debt incurrences, equity issuances, asset sales and other dispositions, insurance and condemnation proceeds, tax refunds and other extraordinary receipts (subject to certain thresholds, exceptions and reinvestment rights). Additionally, beginning with the fiscal year ending December 31, 2025, the Company is required to prepay the loans annually with Excess Cash Flow at the following percentages: (i) if the Total Leverage Ratio (as defined in the Credit Agreement) is greater than 2.25:1.00, 75% of Excess Cash Flow,</w:t>
      </w:r>
    </w:p>
    <w:p>
      <w:pPr>
        <w:spacing w:after="0" w:line="3" w:lineRule="exact"/>
        <w:rPr>
          <w:sz w:val="20"/>
          <w:szCs w:val="20"/>
          <w:color w:val="auto"/>
        </w:rPr>
      </w:pPr>
    </w:p>
    <w:p>
      <w:pPr>
        <w:jc w:val="both"/>
        <w:ind w:firstLine="8"/>
        <w:spacing w:after="0" w:line="255" w:lineRule="auto"/>
        <w:tabs>
          <w:tab w:leader="none" w:pos="2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Total Leverage Ratio is equal to or less than 2.25:1.00 but greater than 1.75:1.00, 50% of Excess Cash Flow, (iii) if the Total Leverage Ratio is equal to or less than 1.75:1.00 but greater than 1.25:1.00, 25% of Excess Cash Flow, and (iv) if the Total Leverage Ratio is equal to or less than 1.25:1.00, 0% of Excess Cash Flow.</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also contains the following financial covenants:</w:t>
      </w:r>
    </w:p>
    <w:p>
      <w:pPr>
        <w:spacing w:after="0" w:line="104" w:lineRule="exact"/>
        <w:rPr>
          <w:sz w:val="20"/>
          <w:szCs w:val="20"/>
          <w:color w:val="auto"/>
        </w:rPr>
      </w:pPr>
    </w:p>
    <w:p>
      <w:pPr>
        <w:ind w:left="660" w:hanging="328"/>
        <w:spacing w:after="0" w:line="281"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Senior Leverage Ratio (as defined in the Credit Agreement) for the most recently ended four fiscal quarter period, not to exceed the level set forth in the Credit Agreement for the last day of such period, starting with the fiscal quarter ending March 31, 2025;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Liquidity (as defined in the Credit Agreement) of $10.0 million at all times.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Credit Agreement contains restrictive covenants that limit the Company's ability to, among other things, incur additional indebtedness and liens, make investments and loans, enter into mergers and acquisitions, make or declare dividends and other payments, enter into certain contracts, sell assets and engage in transactions with affiliates. With respect to dividends, the Credit Agreement prohibits the payment of cash dividends to holders of the Company's Preferred Stock prior to April 1, 2026 and imposes certain limitations on cash dividends, including a heightened Liquidity requirement, on and after that date.</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is subject to customary events of default, including a change in control. If an event of default occurs and is continuing, the Agent or the Required Lenders (as defined in the Credit Agreement) may accelerate any amounts outstanding and terminate lender commitments. The Credit Agreement is guaranteed by the Company and certain of its domestic subsidiaries and is secured by a first lien security interest in substantially all assets of the Company and such subsidiaries, as set forth in a pledge and security agreement dated December 31, 2024 (the "Security Agreement") among the Company, the guarantor subsidiaries and the Agent.</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Loan is recorded on the Consolidated Balance Sheet, net of debt issuance costs and debt discount. The debt issuance costs and debt discount associated with the Term Loan were capitalized and will be amortized through interest expense, net on the Consolidated Statements of Operations and Comprehensive Loss during the term of the Term Loan. As of December 31, 2024, the effective interest rate was 14.54%.</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was evaluated for embedded derivative features by evaluating each feature against the nature of the host instrument. Features identified as embedded derivatives that are material are recognized separately as a derivative asset or liability in the financial statements. No embedded features were identified requiring bifurcation, other than the change of control feature. The Company reassesses whether a change in control is considered probable as of each reporting date. The change in control feature is not recorded on the Consolidated Balance Sheet as of December 31, 2024 because a change in control is not considered probable.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total debt obligations under the Credit Agreement as of December 31, 2024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6"/>
                <w:szCs w:val="16"/>
                <w:color w:val="auto"/>
              </w:rPr>
            </w:pPr>
          </w:p>
        </w:tc>
        <w:tc>
          <w:tcPr>
            <w:tcW w:w="18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9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10"/>
        </w:trPr>
        <w:tc>
          <w:tcPr>
            <w:tcW w:w="9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Secured term loan</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45,000</w:t>
            </w:r>
          </w:p>
        </w:tc>
      </w:tr>
      <w:tr>
        <w:trPr>
          <w:trHeight w:val="213"/>
        </w:trPr>
        <w:tc>
          <w:tcPr>
            <w:tcW w:w="9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Less: Unamortized debt discount and issuance costs</w:t>
            </w:r>
          </w:p>
        </w:tc>
        <w:tc>
          <w:tcPr>
            <w:tcW w:w="3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6"/>
                <w:szCs w:val="16"/>
                <w:color w:val="auto"/>
              </w:rPr>
              <w:t>(3,832)</w:t>
            </w:r>
          </w:p>
        </w:tc>
      </w:tr>
      <w:tr>
        <w:trPr>
          <w:trHeight w:val="237"/>
        </w:trPr>
        <w:tc>
          <w:tcPr>
            <w:tcW w:w="9080" w:type="dxa"/>
            <w:vAlign w:val="bottom"/>
            <w:tcBorders>
              <w:bottom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21"/>
                <w:szCs w:val="21"/>
                <w:color w:val="auto"/>
                <w:vertAlign w:val="superscript"/>
              </w:rPr>
              <w:t>(1)</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41,168</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current portion of the Term Loan of $0.5 million is classified within other current liabilities in the Consolidated Balance Sheets as of December 31,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below summarizes the required future principal payments on the Term Loan, by year, as of December 31, 2024: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r>
      <w:tr>
        <w:trPr>
          <w:trHeight w:val="23"/>
        </w:trPr>
        <w:tc>
          <w:tcPr>
            <w:tcW w:w="9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0"/>
        </w:trPr>
        <w:tc>
          <w:tcPr>
            <w:tcW w:w="9080" w:type="dxa"/>
            <w:vAlign w:val="bottom"/>
            <w:shd w:val="clear" w:color="auto" w:fill="CCEEFF"/>
          </w:tcPr>
          <w:p>
            <w:pPr>
              <w:jc w:val="right"/>
              <w:ind w:right="8439"/>
              <w:spacing w:after="0"/>
              <w:rPr>
                <w:sz w:val="20"/>
                <w:szCs w:val="20"/>
                <w:color w:val="auto"/>
              </w:rPr>
            </w:pPr>
            <w:r>
              <w:rPr>
                <w:rFonts w:ascii="Times New Roman" w:cs="Times New Roman" w:eastAsia="Times New Roman" w:hAnsi="Times New Roman"/>
                <w:sz w:val="16"/>
                <w:szCs w:val="16"/>
                <w:color w:val="auto"/>
              </w:rPr>
              <w:t>2025</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r>
      <w:tr>
        <w:trPr>
          <w:trHeight w:val="213"/>
        </w:trPr>
        <w:tc>
          <w:tcPr>
            <w:tcW w:w="9080" w:type="dxa"/>
            <w:vAlign w:val="bottom"/>
          </w:tcPr>
          <w:p>
            <w:pPr>
              <w:jc w:val="right"/>
              <w:ind w:right="8439"/>
              <w:spacing w:after="0"/>
              <w:rPr>
                <w:sz w:val="20"/>
                <w:szCs w:val="20"/>
                <w:color w:val="auto"/>
              </w:rPr>
            </w:pPr>
            <w:r>
              <w:rPr>
                <w:rFonts w:ascii="Times New Roman" w:cs="Times New Roman" w:eastAsia="Times New Roman" w:hAnsi="Times New Roman"/>
                <w:sz w:val="16"/>
                <w:szCs w:val="16"/>
                <w:color w:val="auto"/>
              </w:rPr>
              <w:t>2026</w:t>
            </w:r>
          </w:p>
        </w:tc>
        <w:tc>
          <w:tcPr>
            <w:tcW w:w="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w:t>
            </w:r>
          </w:p>
        </w:tc>
      </w:tr>
      <w:tr>
        <w:trPr>
          <w:trHeight w:val="219"/>
        </w:trPr>
        <w:tc>
          <w:tcPr>
            <w:tcW w:w="9080" w:type="dxa"/>
            <w:vAlign w:val="bottom"/>
            <w:shd w:val="clear" w:color="auto" w:fill="CCEEFF"/>
          </w:tcPr>
          <w:p>
            <w:pPr>
              <w:jc w:val="right"/>
              <w:ind w:right="8439"/>
              <w:spacing w:after="0"/>
              <w:rPr>
                <w:sz w:val="20"/>
                <w:szCs w:val="20"/>
                <w:color w:val="auto"/>
              </w:rPr>
            </w:pPr>
            <w:r>
              <w:rPr>
                <w:rFonts w:ascii="Times New Roman" w:cs="Times New Roman" w:eastAsia="Times New Roman" w:hAnsi="Times New Roman"/>
                <w:sz w:val="16"/>
                <w:szCs w:val="16"/>
                <w:color w:val="auto"/>
              </w:rPr>
              <w:t>2027</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w:t>
            </w:r>
          </w:p>
        </w:tc>
      </w:tr>
      <w:tr>
        <w:trPr>
          <w:trHeight w:val="213"/>
        </w:trPr>
        <w:tc>
          <w:tcPr>
            <w:tcW w:w="9080" w:type="dxa"/>
            <w:vAlign w:val="bottom"/>
            <w:tcBorders>
              <w:bottom w:val="single" w:sz="8" w:color="CCEEFF"/>
            </w:tcBorders>
          </w:tcPr>
          <w:p>
            <w:pPr>
              <w:jc w:val="right"/>
              <w:ind w:right="8439"/>
              <w:spacing w:after="0"/>
              <w:rPr>
                <w:sz w:val="20"/>
                <w:szCs w:val="20"/>
                <w:color w:val="auto"/>
              </w:rPr>
            </w:pPr>
            <w:r>
              <w:rPr>
                <w:rFonts w:ascii="Times New Roman" w:cs="Times New Roman" w:eastAsia="Times New Roman" w:hAnsi="Times New Roman"/>
                <w:sz w:val="16"/>
                <w:szCs w:val="16"/>
                <w:color w:val="auto"/>
              </w:rPr>
              <w:t>2028</w:t>
            </w:r>
          </w:p>
        </w:tc>
        <w:tc>
          <w:tcPr>
            <w:tcW w:w="3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40,050</w:t>
            </w:r>
          </w:p>
        </w:tc>
      </w:tr>
      <w:tr>
        <w:trPr>
          <w:trHeight w:val="237"/>
        </w:trPr>
        <w:tc>
          <w:tcPr>
            <w:tcW w:w="9080" w:type="dxa"/>
            <w:vAlign w:val="bottom"/>
            <w:tcBorders>
              <w:bottom w:val="single" w:sz="8" w:color="CCEEFF"/>
            </w:tcBorders>
            <w:shd w:val="clear" w:color="auto" w:fill="CCEEFF"/>
          </w:tcPr>
          <w:p>
            <w:pPr>
              <w:jc w:val="right"/>
              <w:ind w:right="8639"/>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 issuance costs associated with the Revolving Facility are capitalized and recorded in other non-current assets in the Consolidated Balance Sheet.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 had no borrowings outstanding under the Revolving Facility, with remaining borrowing capacity of $15.0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Credit Agreement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5, 2021, the Company entered into a senior secured revolving credit agreement (the "Prior Credit Agreement") among the Company, as borrower, certain subsidiaries of the Company, as guarantors, Bank of America N.A., as administrative agent (in such capacity, the "Agent"), and the lenders from time to time party thereto.</w:t>
      </w:r>
    </w:p>
    <w:p>
      <w:pPr>
        <w:spacing w:after="0" w:line="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Prior Credit Agreement had an original borrowing capacity equal to $25.0 million and bore interest on borrowings at a Eurodollar Rate (as defined in the Prior Credit Agreement) that was based on LIBOR. The Company could also request the issuance of letters of credit under the</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Credit Agreement in an aggregate amount up to $5.0 million, which would reduce the amount of available borrowings by the amount of such issued and outstanding letters of credit. The facility originally had a maturity of three years from the closing date of the agreement.</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25, 2022, the Company entered into an amendment (the "2022 Amendment") to the Prior Credit Agreement to expand its aggregate borrowing capacity from $25.0 million to $40.0 million. The 2022 Amendment also replaced the Eurodollar Rate with a SOFR-based interest rate and modified the Applicable Rate definition in the Prior Credit Agreement to increase the Applicable Rate payable on SOFR-based loans to 2.50%. Finally, the 2022 Amendment modified certain financial covenants under the Prior Credit Agreement.</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24, 2023, the Company entered into an additional amendment (the "2023 Amendment") to the Prior Credit Agreement. Among other things, the 2023 Amendment (i) increased the minimum Consolidated EBITDA and Consolidated Asset Coverage Ratio financial covenant requirements under the Prior Credit Agreement, (ii) modified the measurement periods for certain financial covenants contained in the Prior Credit Agreement, (iii) introduced a minimum liquidity covenant, and (iv) modified the Applicable Rate definition in the Prior Credit Agreement to increase the Applicable Rate payable on SOFR-based loans to 3.50%.</w:t>
      </w:r>
    </w:p>
    <w:p>
      <w:pPr>
        <w:spacing w:after="0" w:line="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3, 2024, the Company entered into a third amendment (the "May 2024 Amendment") to the Prior Credit Agreement. Among other things, the May 2024 Amendment (i) extended the maturity date of the facility from May 5, 2024 to November 5, 2024; (ii) reduced the Company's aggregate borrowing capacity under the facility from $40.0 million to $25.0 million; (iii) increased the Applicable Rate payable on SOFR-based loans to 4.50%; (iv) increased the minimum Consolidated Asset Coverage Ratio covenant and decreased the minimum liquidity covenant; (v) limited certain Restricted Payments (as defined in the Prior Credit Agreement) with respect to the Company's equity interests; (vi) required a repayment of $6.0 million to reduce the principal amount outstanding under the Prior Credit Agreement; (vii) updated certain defined terms in the Prior Credit Agreement to reflect the May 2023 transfer of shares of Preferred Stock from Qurate to Liberty; and (viii) provided for certain amendment fees, including a fee of 2.0% of aggregate commitments due on the maturity date (November 5, 2024) unless all obligations were paid in full prior to such date.</w:t>
      </w:r>
    </w:p>
    <w:p>
      <w:pPr>
        <w:spacing w:after="0" w:line="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 2024, the Company repaid the outstanding principal balance of $10.0 million under the Prior Credit Agreement. On November 5, 2024, the Company entered into a fourth amendment (the "November 2024 Amendment") to the Prior Credit Agreement to extend the maturity date with respect to the outstanding letters of credit under the facility to January 31, 2025. The November 2024 Amendment reduced the aggregate lender commitments under the Prior Credit Agreement to equal the outstanding letters of credit (totaling $3.2 million) and limited the purpose of, and use of proceeds under, the Prior Credit Agreement to the issuance of letters of credit.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November 2024 Amendment terminated the following financial covenants: (i) the minimum Consolidated Fixed Charge Coverage Ratio,</w:t>
      </w:r>
    </w:p>
    <w:p>
      <w:pPr>
        <w:spacing w:after="0" w:line="27" w:lineRule="exact"/>
        <w:rPr>
          <w:sz w:val="20"/>
          <w:szCs w:val="20"/>
          <w:color w:val="auto"/>
        </w:rPr>
      </w:pPr>
    </w:p>
    <w:p>
      <w:pPr>
        <w:jc w:val="both"/>
        <w:ind w:firstLine="8"/>
        <w:spacing w:after="0" w:line="253" w:lineRule="auto"/>
        <w:tabs>
          <w:tab w:leader="none" w:pos="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Consolidated Asset Coverage Ratio, and (iii) the minimum Liquidity requirement, each as defined in the Prior Credit Agreement. The November 2024 Amendment maintained the same non-financial covenants, security interest and interest rate as in effect immediately prior to the November 2024 Amendment. Finally, the November 2024 Amendment provided for certain amendment fees, including a fee of $250,000 due on the new maturity date (January 31, 2025) unless all letters of credit were terminated or cash collateralized on or prior to such date.</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Prior Credit Agreement contained restrictive covenants that limited the Company's ability to, among other things, incur additional indebtedness or liens, make investments and loans, enter into mergers and acquisitions, make or declare dividends and other payments, enter into certain contracts, sell assets and engage in transactions with affiliates. The Prior Credit Agreement was also subject to customary events of default, including a change in control.</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Prior Credit Agreement was guaranteed by the Company and its domestic subsidiaries (other than Excluded Subsidiaries (as defined in the Prior Credit Agreement)) and was secured by a first lien security interest in substantially all assets of the Company and its domestic subsidiaries (other than Excluded Subsidiaries), subject to certain customary exclusions.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31, 2024, the Company terminated the Prior Credit Agreement. The Company used a portion of proceeds from the Term Loan to cash collateralize certain letters of credit that were outstanding under the Prior Credit Agreement. The Company had no borrowings outstanding under the Prior Credit Agreement on the termination date, and no early termination penalties were incurred by the Company in connection with the termination.</w:t>
      </w:r>
    </w:p>
    <w:p>
      <w:pPr>
        <w:spacing w:after="0" w:line="172"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on a Recurring Basis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instruments measured at fair value in its Consolidated Balance Sheets on a recurring basis consist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3"/>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2"/>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Contingent consideration liability </w:t>
            </w:r>
            <w:r>
              <w:rPr>
                <w:rFonts w:ascii="Times New Roman" w:cs="Times New Roman" w:eastAsia="Times New Roman" w:hAnsi="Times New Roman"/>
                <w:sz w:val="21"/>
                <w:szCs w:val="21"/>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1,191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4,806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4,806</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Warrants liability </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0" w:type="dxa"/>
            <w:vAlign w:val="bottom"/>
          </w:tcPr>
          <w:p>
            <w:pPr>
              <w:spacing w:after="0"/>
              <w:rPr>
                <w:sz w:val="1"/>
                <w:szCs w:val="1"/>
                <w:color w:val="auto"/>
              </w:rPr>
            </w:pPr>
          </w:p>
        </w:tc>
      </w:tr>
      <w:tr>
        <w:trPr>
          <w:trHeight w:val="20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1,191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4,806</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5,475</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37" w:lineRule="exact"/>
        <w:rPr>
          <w:sz w:val="20"/>
          <w:szCs w:val="20"/>
          <w:color w:val="auto"/>
        </w:rPr>
      </w:pPr>
    </w:p>
    <w:p>
      <w:pPr>
        <w:jc w:val="both"/>
        <w:ind w:firstLine="8"/>
        <w:spacing w:after="0" w:line="243" w:lineRule="auto"/>
        <w:tabs>
          <w:tab w:leader="none" w:pos="162" w:val="left"/>
        </w:tabs>
        <w:numPr>
          <w:ilvl w:val="0"/>
          <w:numId w:val="4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The contingent consideration was recognized as part of the 2021 Shareablee acquisition. In April 2022, the contingency was resolved and the full amount was deemed payable. Refer to </w:t>
      </w:r>
      <w:r>
        <w:rPr>
          <w:rFonts w:ascii="Times New Roman" w:cs="Times New Roman" w:eastAsia="Times New Roman" w:hAnsi="Times New Roman"/>
          <w:sz w:val="14"/>
          <w:szCs w:val="14"/>
          <w:u w:val="single" w:color="auto"/>
          <w:color w:val="0000FF"/>
        </w:rPr>
        <w:t>Footnote 2</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i w:val="1"/>
          <w:iCs w:val="1"/>
          <w:color w:val="000000"/>
        </w:rPr>
        <w:t>Summary of Significant Accounting Policies.</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In December 2024, the Company elected to settle the third and final installment in cash, which was paid in 2025. As a result, the fair</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value of this liability as of December 31, 2024 is equal to the payment due. The fair value of this liability as of December 31, 2023 is derived from a technique which utilizes market-corroborated inputs that result in classification as a Level 2 fair value measurement as of such date. The contingent consideration liability is classified within other current liabilities in the Consolidated Balance Sheets as of December 31, 2024 and December 31, 2023.</w:t>
      </w:r>
    </w:p>
    <w:p>
      <w:pPr>
        <w:spacing w:after="0" w:line="3" w:lineRule="exact"/>
        <w:rPr>
          <w:rFonts w:ascii="Times New Roman" w:cs="Times New Roman" w:eastAsia="Times New Roman" w:hAnsi="Times New Roman"/>
          <w:sz w:val="19"/>
          <w:szCs w:val="19"/>
          <w:color w:val="auto"/>
          <w:vertAlign w:val="superscript"/>
        </w:rPr>
      </w:pPr>
    </w:p>
    <w:p>
      <w:pPr>
        <w:jc w:val="both"/>
        <w:ind w:firstLine="8"/>
        <w:spacing w:after="0" w:line="233" w:lineRule="auto"/>
        <w:tabs>
          <w:tab w:leader="none" w:pos="157" w:val="left"/>
        </w:tabs>
        <w:numPr>
          <w:ilvl w:val="0"/>
          <w:numId w:val="4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fair value of this liability was derived from a technique which utilized inputs, certain of which were significant and unobservable, that resulted in classification as a Level 3 fair value measurement. Warrants liability included only the Series A Warrants as of December 31, 2023. Warrants liability was classified within other current liabilities on the Consolidated Balance Sheets. The Series A Warrants expired on June 26, 2024 and there are no warrants outstanding as of December 31, 2024.</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to the Company's valuation techniques or methodologies during the years ended December 31, 2024 or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changes in the Company's recurring Level 3 fair value measurements for the years ended December 31, 2024 and 2023:</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32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Warrants Liability</w:t>
            </w:r>
          </w:p>
        </w:tc>
      </w:tr>
      <w:tr>
        <w:trPr>
          <w:trHeight w:val="23"/>
        </w:trPr>
        <w:tc>
          <w:tcPr>
            <w:tcW w:w="97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718</w:t>
            </w:r>
          </w:p>
        </w:tc>
      </w:tr>
      <w:tr>
        <w:trPr>
          <w:trHeight w:val="257"/>
        </w:trPr>
        <w:tc>
          <w:tcPr>
            <w:tcW w:w="9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 xml:space="preserve">Total gain recognized due to remeasurement </w:t>
            </w:r>
            <w:r>
              <w:rPr>
                <w:rFonts w:ascii="Times New Roman" w:cs="Times New Roman" w:eastAsia="Times New Roman" w:hAnsi="Times New Roman"/>
                <w:sz w:val="21"/>
                <w:szCs w:val="21"/>
                <w:color w:val="auto"/>
                <w:vertAlign w:val="superscript"/>
              </w:rPr>
              <w:t>(1)</w:t>
            </w: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0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669</w:t>
            </w:r>
          </w:p>
        </w:tc>
      </w:tr>
      <w:tr>
        <w:trPr>
          <w:trHeight w:val="257"/>
        </w:trPr>
        <w:tc>
          <w:tcPr>
            <w:tcW w:w="9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 xml:space="preserve">Total gain recognized due to remeasurement and expiration of warrants </w:t>
            </w:r>
            <w:r>
              <w:rPr>
                <w:rFonts w:ascii="Times New Roman" w:cs="Times New Roman" w:eastAsia="Times New Roman" w:hAnsi="Times New Roman"/>
                <w:sz w:val="21"/>
                <w:szCs w:val="21"/>
                <w:color w:val="auto"/>
                <w:vertAlign w:val="superscript"/>
              </w:rPr>
              <w:t>(1)</w:t>
            </w: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234"/>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firstLine="8"/>
        <w:spacing w:after="0" w:line="237" w:lineRule="auto"/>
        <w:tabs>
          <w:tab w:leader="none" w:pos="152" w:val="left"/>
        </w:tabs>
        <w:numPr>
          <w:ilvl w:val="0"/>
          <w:numId w:val="4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gain due to remeasurement and expiration of warrants was recorded in other income, net, in the Consolidated Statements of Operations and Comprehensive Loss. The Series A Warrants expired unexercised on June 26, 2024.</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valuation technique and the significant inputs, certain of which are unobservable, for the Company's Level 3 liabilities that existed as of December 31, 2023 that were remeasured on a recurring basis: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00" w:type="dxa"/>
            <w:vAlign w:val="bottom"/>
          </w:tcPr>
          <w:p>
            <w:pPr>
              <w:spacing w:after="0"/>
              <w:rPr>
                <w:sz w:val="18"/>
                <w:szCs w:val="18"/>
                <w:color w:val="auto"/>
              </w:rPr>
            </w:pPr>
          </w:p>
        </w:tc>
        <w:tc>
          <w:tcPr>
            <w:tcW w:w="314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300" w:type="dxa"/>
            <w:vAlign w:val="bottom"/>
            <w:tcBorders>
              <w:bottom w:val="single" w:sz="8" w:color="auto"/>
            </w:tcBorders>
          </w:tcPr>
          <w:p>
            <w:pPr>
              <w:spacing w:after="0"/>
              <w:rPr>
                <w:sz w:val="18"/>
                <w:szCs w:val="18"/>
                <w:color w:val="auto"/>
              </w:rPr>
            </w:pPr>
          </w:p>
        </w:tc>
      </w:tr>
      <w:tr>
        <w:trPr>
          <w:trHeight w:val="193"/>
        </w:trPr>
        <w:tc>
          <w:tcPr>
            <w:tcW w:w="68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6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Significant Inputs</w:t>
            </w:r>
          </w:p>
        </w:tc>
        <w:tc>
          <w:tcPr>
            <w:tcW w:w="130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6"/>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Warrants liability</w:t>
            </w: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Option pricing</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price</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ind w:right="41"/>
              <w:spacing w:after="0"/>
              <w:rPr>
                <w:sz w:val="20"/>
                <w:szCs w:val="20"/>
                <w:color w:val="auto"/>
              </w:rPr>
            </w:pPr>
            <w:r>
              <w:rPr>
                <w:rFonts w:ascii="Times New Roman" w:cs="Times New Roman" w:eastAsia="Times New Roman" w:hAnsi="Times New Roman"/>
                <w:sz w:val="16"/>
                <w:szCs w:val="16"/>
                <w:color w:val="auto"/>
              </w:rPr>
              <w:t>$16.70</w:t>
            </w:r>
          </w:p>
        </w:tc>
      </w:tr>
      <w:tr>
        <w:trPr>
          <w:trHeight w:val="213"/>
        </w:trPr>
        <w:tc>
          <w:tcPr>
            <w:tcW w:w="6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Exercise price</w:t>
            </w:r>
          </w:p>
        </w:tc>
        <w:tc>
          <w:tcPr>
            <w:tcW w:w="1300" w:type="dxa"/>
            <w:vAlign w:val="bottom"/>
          </w:tcPr>
          <w:p>
            <w:pPr>
              <w:jc w:val="center"/>
              <w:ind w:right="41"/>
              <w:spacing w:after="0"/>
              <w:rPr>
                <w:sz w:val="20"/>
                <w:szCs w:val="20"/>
                <w:color w:val="auto"/>
              </w:rPr>
            </w:pPr>
            <w:r>
              <w:rPr>
                <w:rFonts w:ascii="Times New Roman" w:cs="Times New Roman" w:eastAsia="Times New Roman" w:hAnsi="Times New Roman"/>
                <w:sz w:val="16"/>
                <w:szCs w:val="16"/>
                <w:color w:val="auto"/>
              </w:rPr>
              <w:t>$20.20</w:t>
            </w:r>
          </w:p>
        </w:tc>
      </w:tr>
      <w:tr>
        <w:trPr>
          <w:trHeight w:val="219"/>
        </w:trPr>
        <w:tc>
          <w:tcPr>
            <w:tcW w:w="68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Volatility</w:t>
            </w:r>
          </w:p>
        </w:tc>
        <w:tc>
          <w:tcPr>
            <w:tcW w:w="1300" w:type="dxa"/>
            <w:vAlign w:val="bottom"/>
            <w:shd w:val="clear" w:color="auto" w:fill="CCEEFF"/>
          </w:tcPr>
          <w:p>
            <w:pPr>
              <w:jc w:val="center"/>
              <w:ind w:right="41"/>
              <w:spacing w:after="0"/>
              <w:rPr>
                <w:sz w:val="20"/>
                <w:szCs w:val="20"/>
                <w:color w:val="auto"/>
              </w:rPr>
            </w:pPr>
            <w:r>
              <w:rPr>
                <w:rFonts w:ascii="Times New Roman" w:cs="Times New Roman" w:eastAsia="Times New Roman" w:hAnsi="Times New Roman"/>
                <w:sz w:val="16"/>
                <w:szCs w:val="16"/>
                <w:color w:val="auto"/>
              </w:rPr>
              <w:t>75.0%</w:t>
            </w:r>
          </w:p>
        </w:tc>
      </w:tr>
      <w:tr>
        <w:trPr>
          <w:trHeight w:val="213"/>
        </w:trPr>
        <w:tc>
          <w:tcPr>
            <w:tcW w:w="6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Term</w:t>
            </w:r>
          </w:p>
        </w:tc>
        <w:tc>
          <w:tcPr>
            <w:tcW w:w="1300" w:type="dxa"/>
            <w:vAlign w:val="bottom"/>
          </w:tcPr>
          <w:p>
            <w:pPr>
              <w:jc w:val="center"/>
              <w:ind w:right="41"/>
              <w:spacing w:after="0"/>
              <w:rPr>
                <w:sz w:val="20"/>
                <w:szCs w:val="20"/>
                <w:color w:val="auto"/>
              </w:rPr>
            </w:pPr>
            <w:r>
              <w:rPr>
                <w:rFonts w:ascii="Times New Roman" w:cs="Times New Roman" w:eastAsia="Times New Roman" w:hAnsi="Times New Roman"/>
                <w:sz w:val="16"/>
                <w:szCs w:val="16"/>
                <w:color w:val="auto"/>
              </w:rPr>
              <w:t>0.49 years</w:t>
            </w:r>
          </w:p>
        </w:tc>
      </w:tr>
      <w:tr>
        <w:trPr>
          <w:trHeight w:val="219"/>
        </w:trPr>
        <w:tc>
          <w:tcPr>
            <w:tcW w:w="68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rate</w:t>
            </w:r>
          </w:p>
        </w:tc>
        <w:tc>
          <w:tcPr>
            <w:tcW w:w="1300" w:type="dxa"/>
            <w:vAlign w:val="bottom"/>
            <w:shd w:val="clear" w:color="auto" w:fill="CCEEFF"/>
          </w:tcPr>
          <w:p>
            <w:pPr>
              <w:jc w:val="center"/>
              <w:ind w:right="41"/>
              <w:spacing w:after="0"/>
              <w:rPr>
                <w:sz w:val="20"/>
                <w:szCs w:val="20"/>
                <w:color w:val="auto"/>
              </w:rPr>
            </w:pPr>
            <w:r>
              <w:rPr>
                <w:rFonts w:ascii="Times New Roman" w:cs="Times New Roman" w:eastAsia="Times New Roman" w:hAnsi="Times New Roman"/>
                <w:sz w:val="16"/>
                <w:szCs w:val="16"/>
                <w:color w:val="auto"/>
              </w:rPr>
              <w:t>5.3%</w:t>
            </w: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sensitivities in the valuation of the warrants liability were driven by the exercise price, the Common Stock price at the measurement date and the expected volatility of the Common Stock over the remaining term.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on a Nonrecurring Basis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 the years ended December 31, 2024, 2023 and 2022, the Company recorded goodwill impairment charges of $63.0 million, $78.2 million and $46.3 million, respectively. Refer to </w:t>
      </w:r>
      <w:r>
        <w:rPr>
          <w:rFonts w:ascii="Times New Roman" w:cs="Times New Roman" w:eastAsia="Times New Roman" w:hAnsi="Times New Roman"/>
          <w:sz w:val="18"/>
          <w:szCs w:val="18"/>
          <w:u w:val="single" w:color="auto"/>
          <w:color w:val="0000FF"/>
        </w:rPr>
        <w:t>Footnote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for further details. The remeasurement of goodwill is classified as a non-recurring Level 3 fair value assessment due to the significance of unobservable inputs developed in the determination of the fair value. The Company used a discounted cash flow model to determine the estimated fair value of the reporting unit. The Company made estimates and assumptions regarding future cash flows, discount rates, long-term growth rates and market values to determine the reporting unit's estimated fair value. It is possible that future changes in such circumstances, or in the variables associated with the judgments, assumptions and estimates used in assessing the fair value of the reporting unit, would require the Company to record additional non-cash impairment charges.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 the year ended December 31, 2024, the Company recorded the additional shares of Preferred Stock of $19.6 million within mezzanine equity and $13.0 million within additional paid-in capital, which was based on the calculated fair value net of issuance costs. Refer to </w:t>
      </w:r>
      <w:r>
        <w:rPr>
          <w:rFonts w:ascii="Times New Roman" w:cs="Times New Roman" w:eastAsia="Times New Roman" w:hAnsi="Times New Roman"/>
          <w:sz w:val="18"/>
          <w:szCs w:val="18"/>
          <w:u w:val="single" w:color="auto"/>
          <w:color w:val="0000FF"/>
        </w:rPr>
        <w:t>Footnote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Redeemable Preferred Stock and Stockholders' Equity (Deficit), </w:t>
      </w:r>
      <w:r>
        <w:rPr>
          <w:rFonts w:ascii="Times New Roman" w:cs="Times New Roman" w:eastAsia="Times New Roman" w:hAnsi="Times New Roman"/>
          <w:sz w:val="18"/>
          <w:szCs w:val="18"/>
          <w:color w:val="auto"/>
        </w:rPr>
        <w:t>for further details. The initial measurement of the additional shares of Preferred Stock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a non-recurring Level 3 fair value assessment due to the significance of unobservable inputs developed in the determination of the fair value. The Company used a binomial lattice model, a form of the income approach, to determine the fair value of the additional Preferred Stock at the 2024 Issuance Date. The Company used significant inputs and assumptions which included the price and expected volatility of the Common Stock, risk-adjusted discount rate, risk-free rate, expected term, deferred dividends and the timing and probability of a Special Dividend being called and paid as of the 2024 Issuance Date.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Computer equipment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59,572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65,975</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Capitalized internal-use software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117,863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95,094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Leasehold improvements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15,571</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Computer software (including software license arrangements of $1,365 in 2024 and 2023, respectively)</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Finance leases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13,113</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Office equipment, furniture, and other</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5,154</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5,186</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226,301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203,341</w:t>
            </w:r>
          </w:p>
        </w:tc>
        <w:tc>
          <w:tcPr>
            <w:tcW w:w="0" w:type="dxa"/>
            <w:vAlign w:val="bottom"/>
          </w:tcPr>
          <w:p>
            <w:pPr>
              <w:spacing w:after="0"/>
              <w:rPr>
                <w:sz w:val="1"/>
                <w:szCs w:val="1"/>
                <w:color w:val="auto"/>
              </w:rPr>
            </w:pPr>
          </w:p>
        </w:tc>
      </w:tr>
      <w:tr>
        <w:trPr>
          <w:trHeight w:val="162"/>
        </w:trPr>
        <w:tc>
          <w:tcPr>
            <w:tcW w:w="832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Less: accumulated depreciation and amortization (including software license arrangements of $1,365 in 2024 and $1,350</w:t>
            </w: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(179,185)</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(161,767)</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 2023)</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47,116</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41,574</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2023, and 2022, depreciation expense was $22.1 million, $19.8 million and $16.8 million, respectively. In addition, amortization expense from finance leases was $3.7 million, $1.9 million and $2.4 million for the years ended December 31, 2024, 2023, and 2022,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Company's property and equipment, net, 99% was located in the United States as of December 31, 2024 and 2023.</w:t>
      </w:r>
    </w:p>
    <w:p>
      <w:pPr>
        <w:spacing w:after="0" w:line="221"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finance leases for computer equipment and operating leases for real estate. These leases have remaining lease terms of less than one year to five years, some of which include options to extend the leases for up to five years, and some of which include options to terminate the leases within two years. As of December 31, 2024, the weighted average remaining lease term for the Company's finance leases and operating leases was 2.3 years and 2.6 years, respectively. As of December 31, 2024, the weighted average discount rate for the Company's finance leases and operating leases was 9.4% and 11.0%, respectively.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 cost</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46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2,364</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finance lease cost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 cost</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Fixed lease cost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8,248</w:t>
            </w:r>
          </w:p>
        </w:tc>
        <w:tc>
          <w:tcPr>
            <w:tcW w:w="460" w:type="dxa"/>
            <w:vAlign w:val="bottom"/>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11,174</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 lease cost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Variable lease cost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Sublease income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lease cost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7,661</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10,121</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costs, net of sublease income, are reflected in the Consolidated Statements of Operations and Comprehensive Loss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0" w:type="dxa"/>
            <w:vAlign w:val="bottom"/>
            <w:gridSpan w:val="6"/>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Amortization of right-of-use assets</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revenues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Selling and marketing</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9"/>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amortization of right-of-use assets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2,364</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 cost</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revenues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and marketing</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lease cost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7,661</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10,121</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Maturities of operating and finance lease liabilities as of December 31, 2024 were as follows: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24"/>
                <w:szCs w:val="24"/>
                <w:color w:val="auto"/>
              </w:rPr>
            </w:pPr>
          </w:p>
        </w:tc>
        <w:tc>
          <w:tcPr>
            <w:tcW w:w="124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8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2025</w:t>
            </w: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4,245</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2026</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3,885</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2027</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2028</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2029</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9,689</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imputed interest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0" w:type="dxa"/>
            <w:vAlign w:val="bottom"/>
          </w:tcPr>
          <w:p>
            <w:pPr>
              <w:spacing w:after="0"/>
              <w:rPr>
                <w:sz w:val="1"/>
                <w:szCs w:val="1"/>
                <w:color w:val="auto"/>
              </w:rPr>
            </w:pPr>
          </w:p>
        </w:tc>
      </w:tr>
      <w:tr>
        <w:trPr>
          <w:trHeight w:val="207"/>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23,403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8,743</w:t>
            </w:r>
          </w:p>
        </w:tc>
        <w:tc>
          <w:tcPr>
            <w:tcW w:w="0" w:type="dxa"/>
            <w:vAlign w:val="bottom"/>
          </w:tcPr>
          <w:p>
            <w:pPr>
              <w:spacing w:after="0"/>
              <w:rPr>
                <w:sz w:val="1"/>
                <w:szCs w:val="1"/>
                <w:color w:val="auto"/>
              </w:rPr>
            </w:pPr>
          </w:p>
        </w:tc>
      </w:tr>
      <w:tr>
        <w:trPr>
          <w:trHeight w:val="212"/>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current lease liabilities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0" w:type="dxa"/>
            <w:vAlign w:val="bottom"/>
          </w:tcPr>
          <w:p>
            <w:pPr>
              <w:spacing w:after="0"/>
              <w:rPr>
                <w:sz w:val="1"/>
                <w:szCs w:val="1"/>
                <w:color w:val="auto"/>
              </w:rPr>
            </w:pPr>
          </w:p>
        </w:tc>
      </w:tr>
      <w:tr>
        <w:trPr>
          <w:trHeight w:val="20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non-current lease liabilities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14,805</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5,083</w:t>
            </w: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four subleases. One sublease has a non-cancelable term of less than one year. The remaining three subleases are non-cancelable and have remaining lease terms of one year to three years. None of these subleases contain any options to renew or terminate the sublease agreement. Future expected cash receipts from these subleases as of December 31, 2024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6"/>
                <w:szCs w:val="16"/>
                <w:color w:val="auto"/>
              </w:rPr>
            </w:pPr>
          </w:p>
        </w:tc>
        <w:tc>
          <w:tcPr>
            <w:tcW w:w="128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Sublease Receipts</w:t>
            </w:r>
          </w:p>
        </w:tc>
      </w:tr>
      <w:tr>
        <w:trPr>
          <w:trHeight w:val="23"/>
        </w:trPr>
        <w:tc>
          <w:tcPr>
            <w:tcW w:w="9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0"/>
        </w:trPr>
        <w:tc>
          <w:tcPr>
            <w:tcW w:w="9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w:t>
            </w:r>
          </w:p>
        </w:tc>
      </w:tr>
      <w:tr>
        <w:trPr>
          <w:trHeight w:val="213"/>
        </w:trPr>
        <w:tc>
          <w:tcPr>
            <w:tcW w:w="9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w:t>
            </w:r>
          </w:p>
        </w:tc>
      </w:tr>
      <w:tr>
        <w:trPr>
          <w:trHeight w:val="219"/>
        </w:trPr>
        <w:tc>
          <w:tcPr>
            <w:tcW w:w="9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r>
      <w:tr>
        <w:trPr>
          <w:trHeight w:val="213"/>
        </w:trPr>
        <w:tc>
          <w:tcPr>
            <w:tcW w:w="9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2028 and thereafter</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expected sublease receipts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5,318</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tests goodwill for impairment annually during the fourth quarter as of October 1, or more frequently when events or changes in circumstances indicate that fair value is below carrying value. In the third quarter of 2024, the Company concluded that it was more likely than not that the estimated fair value of its reporting unit was less than its carrying value. In its assessment, the Company considered the decline in the Company's stock price, market and equity capitalization, operating results and projections. The fair value of the reporting unit was determined using a discounted cash flow model (a form of the income approach) utilizing Level 3 unobservable inputs, supported by a market approach. The Company relied in part on the work of an independent valuation firm engaged by the Company to provide inputs as to the fair value of the reporting unit and to assist in the related calculations and analysis. The Company's reporting unit did not pass the goodwill impairment test and as a result, the Company recorded a $63.0 million impairment charge during the three months ended September 30, 2024. No additional impairment indicators were identified during the fourth quarter of 2024.</w:t>
      </w:r>
    </w:p>
    <w:p>
      <w:pPr>
        <w:spacing w:after="0" w:line="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conjunction with its annual test as of October 1, 2023, the Company performed a quantitative goodwill impairment test as of September 30, 2023. In its assessment, the Company considered the decline in revenues in 2023 which drove lower revenue growth expectations in future years. The Company also considered the decline in the Company's stock price and market capitalization. The fair value of the reporting unit was determined using a discounted cash flow model (a form of the income approach) utilizing Level 3 unobservable inputs, supported by a market approach. The Company relied in part on the work of an independent valuation firm engaged by the Company to provide inputs as to</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reporting unit and to assist in the related calculations and analysis. The Company's reporting unit did not pass the goodwill impairment test and as a result, the Company recorded a $34.1 million impairment charge during the three months ended December 31, 2023.</w:t>
      </w:r>
    </w:p>
    <w:p>
      <w:pPr>
        <w:spacing w:after="0" w:line="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second quarter of 2023, the Company concluded that it was more likely than not that the estimated fair value of its reporting unit was less than its carrying value. In its assessment, the Company considered the decline in the Company's stock price and market capitalization, among other factors. The Company performed quantitative testing on its reporting unit using a discounted cash flow model (a form of the income approach) utilizing Level 3 unobservable inputs, supported by a market approach. The Company relied in part on the work of an independent valuation firm engaged by the Company to provide inputs as to the fair value of the reporting unit and to assist in the related calculations and analysis. The Company's reporting unit did not pass the goodwill impairment test, and as a result the Company recorded a $44.1 million impairment charge during the three months ended June 30, 2023.</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conjunction with its annual test as of October 1, 2022, the Company performed a quantitative goodwill impairment test as of September 30, 2022. In its assessment, the Company considered the decline in the Company's stock price and market capitalization, among other factors. The fair value of the reporting unit was determined using a discounted cash flow model (a form of the income approach) utilizing Level 3 unobservable inputs, supported by a market approach. The Company relied in part on the work of an independent valuation firm engaged by the Company to provide inputs as to the fair value of the reporting unit and to assist in the related calculations and analysis. The Company's reporting unit did not pass the goodwill impairment test and as a result, the Company recorded a $46.3 million impairment charge during the three months ended September 30, 2022.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carrying value of goodwill is as follows:</w:t>
      </w:r>
    </w:p>
    <w:p>
      <w:pPr>
        <w:spacing w:after="0" w:line="122"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ectPr>
          <w:pgSz w:w="11900" w:h="16838" w:orient="portrait"/>
          <w:cols w:equalWidth="0" w:num="1">
            <w:col w:w="11240"/>
          </w:cols>
          <w:pgMar w:left="320" w:top="121" w:right="339" w:bottom="1440" w:gutter="0" w:footer="0" w:header="0"/>
        </w:sectPr>
      </w:pP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Balance as of December 31, 2022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6"/>
          <w:szCs w:val="16"/>
          <w:color w:val="auto"/>
        </w:rPr>
        <w:t>Impairment charge</w:t>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Impairment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p>
      <w:pPr>
        <w:spacing w:after="0" w:line="118" w:lineRule="exact"/>
        <w:rPr>
          <w:sz w:val="20"/>
          <w:szCs w:val="20"/>
          <w:color w:val="auto"/>
        </w:rPr>
      </w:pPr>
    </w:p>
    <w:p>
      <w:pPr>
        <w:ind w:left="180" w:hanging="154"/>
        <w:spacing w:after="0"/>
        <w:tabs>
          <w:tab w:leader="none" w:pos="180" w:val="left"/>
        </w:tabs>
        <w:numPr>
          <w:ilvl w:val="0"/>
          <w:numId w:val="5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Goodwill balance is net of an accumulated impairment charge of $270.6 million as of December 31, 2022.</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800" w:hanging="800"/>
        <w:spacing w:after="0"/>
        <w:tabs>
          <w:tab w:leader="none" w:pos="8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387,973</w:t>
      </w:r>
    </w:p>
    <w:p>
      <w:pPr>
        <w:spacing w:after="0" w:line="32" w:lineRule="exact"/>
        <w:rPr>
          <w:rFonts w:ascii="Times New Roman" w:cs="Times New Roman" w:eastAsia="Times New Roman" w:hAnsi="Times New Roman"/>
          <w:sz w:val="16"/>
          <w:szCs w:val="16"/>
          <w:color w:val="auto"/>
        </w:rPr>
      </w:pPr>
    </w:p>
    <w:p>
      <w:pPr>
        <w:ind w:left="8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(78,200)</w:t>
      </w:r>
    </w:p>
    <w:p>
      <w:pPr>
        <w:spacing w:after="0" w:line="32" w:lineRule="exact"/>
        <w:rPr>
          <w:rFonts w:ascii="Times New Roman" w:cs="Times New Roman" w:eastAsia="Times New Roman" w:hAnsi="Times New Roman"/>
          <w:sz w:val="16"/>
          <w:szCs w:val="16"/>
          <w:color w:val="auto"/>
        </w:rPr>
      </w:pPr>
    </w:p>
    <w:p>
      <w:pPr>
        <w:ind w:left="10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9004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6" w:lineRule="exact"/>
        <w:rPr>
          <w:sz w:val="20"/>
          <w:szCs w:val="20"/>
          <w:color w:val="auto"/>
        </w:rPr>
      </w:pPr>
    </w:p>
    <w:p>
      <w:pPr>
        <w:ind w:left="800" w:hanging="800"/>
        <w:spacing w:after="0"/>
        <w:tabs>
          <w:tab w:leader="none" w:pos="8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310,360</w:t>
      </w:r>
    </w:p>
    <w:p>
      <w:pPr>
        <w:spacing w:after="0" w:line="32" w:lineRule="exact"/>
        <w:rPr>
          <w:rFonts w:ascii="Times New Roman" w:cs="Times New Roman" w:eastAsia="Times New Roman" w:hAnsi="Times New Roman"/>
          <w:sz w:val="16"/>
          <w:szCs w:val="16"/>
          <w:color w:val="auto"/>
        </w:rPr>
      </w:pPr>
    </w:p>
    <w:p>
      <w:pPr>
        <w:ind w:left="8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(63,000)</w:t>
      </w:r>
    </w:p>
    <w:p>
      <w:pPr>
        <w:spacing w:after="0" w:line="32" w:lineRule="exact"/>
        <w:rPr>
          <w:rFonts w:ascii="Times New Roman" w:cs="Times New Roman" w:eastAsia="Times New Roman" w:hAnsi="Times New Roman"/>
          <w:sz w:val="16"/>
          <w:szCs w:val="16"/>
          <w:color w:val="auto"/>
        </w:rPr>
      </w:pPr>
    </w:p>
    <w:p>
      <w:pPr>
        <w:ind w:left="9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(1,350)</w:t>
      </w:r>
    </w:p>
    <w:p>
      <w:pPr>
        <w:spacing w:after="0" w:line="46" w:lineRule="exact"/>
        <w:rPr>
          <w:sz w:val="20"/>
          <w:szCs w:val="20"/>
          <w:color w:val="auto"/>
        </w:rPr>
      </w:pPr>
    </w:p>
    <w:p>
      <w:pPr>
        <w:ind w:left="800" w:hanging="800"/>
        <w:spacing w:after="0"/>
        <w:tabs>
          <w:tab w:leader="none" w:pos="8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246,010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9004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505" w:lineRule="exact"/>
        <w:rPr>
          <w:sz w:val="20"/>
          <w:szCs w:val="20"/>
          <w:color w:val="auto"/>
        </w:rPr>
      </w:pPr>
    </w:p>
    <w:p>
      <w:pPr>
        <w:sectPr>
          <w:pgSz w:w="11900" w:h="16838" w:orient="portrait"/>
          <w:cols w:equalWidth="0" w:num="2">
            <w:col w:w="9120" w:space="720"/>
            <w:col w:w="1400"/>
          </w:cols>
          <w:pgMar w:left="320" w:top="121"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values of the Company's definite-lived intangible assets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101"/>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860" w:type="dxa"/>
            <w:vAlign w:val="bottom"/>
          </w:tcPr>
          <w:p>
            <w:pPr>
              <w:jc w:val="center"/>
              <w:ind w:right="81"/>
              <w:spacing w:after="0" w:line="137" w:lineRule="exact"/>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101"/>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860" w:type="dxa"/>
            <w:vAlign w:val="bottom"/>
          </w:tcPr>
          <w:p>
            <w:pPr>
              <w:jc w:val="center"/>
              <w:ind w:right="81"/>
              <w:spacing w:after="0" w:line="137"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4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8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8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5"/>
        </w:trPr>
        <w:tc>
          <w:tcPr>
            <w:tcW w:w="47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Acquired methodologies and technology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154,400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(151,982)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154,409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(150,783)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w:t>
            </w:r>
          </w:p>
        </w:tc>
        <w:tc>
          <w:tcPr>
            <w:tcW w:w="0" w:type="dxa"/>
            <w:vAlign w:val="bottom"/>
          </w:tcPr>
          <w:p>
            <w:pPr>
              <w:spacing w:after="0"/>
              <w:rPr>
                <w:sz w:val="1"/>
                <w:szCs w:val="1"/>
                <w:color w:val="auto"/>
              </w:rPr>
            </w:pPr>
          </w:p>
        </w:tc>
      </w:tr>
      <w:tr>
        <w:trPr>
          <w:trHeight w:val="213"/>
        </w:trPr>
        <w:tc>
          <w:tcPr>
            <w:tcW w:w="4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relationships</w:t>
            </w:r>
          </w:p>
        </w:tc>
        <w:tc>
          <w:tcPr>
            <w:tcW w:w="1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46,529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46,623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3,960</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Intellectual property</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14,366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13"/>
        </w:trPr>
        <w:tc>
          <w:tcPr>
            <w:tcW w:w="4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Acquired software</w:t>
            </w:r>
          </w:p>
        </w:tc>
        <w:tc>
          <w:tcPr>
            <w:tcW w:w="1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9,765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9,765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Panel</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3,102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Trade names</w:t>
            </w:r>
          </w:p>
        </w:tc>
        <w:tc>
          <w:tcPr>
            <w:tcW w:w="1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229,499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(224,441)</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5,058</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229,620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(221,505)</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8,115</w:t>
            </w: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$3.1 million, $5.2 million, and $27.1 million for the years ended December 31, 2024, 2023, and 2022,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Company's definite-lived intangible assets, net, all were generated by or located in the United States as of December 31, 2024 and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amortization period by major asset class as of December 31, 2024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r>
      <w:tr>
        <w:trPr>
          <w:trHeight w:val="23"/>
        </w:trPr>
        <w:tc>
          <w:tcPr>
            <w:tcW w:w="98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methodologies and technology</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r>
      <w:tr>
        <w:trPr>
          <w:trHeight w:val="210"/>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r>
    </w:tbl>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future amortization of intangible assets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r>
      <w:tr>
        <w:trPr>
          <w:trHeight w:val="23"/>
        </w:trPr>
        <w:tc>
          <w:tcPr>
            <w:tcW w:w="9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9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w:t>
            </w:r>
          </w:p>
        </w:tc>
      </w:tr>
      <w:tr>
        <w:trPr>
          <w:trHeight w:val="213"/>
        </w:trPr>
        <w:tc>
          <w:tcPr>
            <w:tcW w:w="9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w:t>
            </w:r>
          </w:p>
        </w:tc>
      </w:tr>
      <w:tr>
        <w:trPr>
          <w:trHeight w:val="219"/>
        </w:trPr>
        <w:tc>
          <w:tcPr>
            <w:tcW w:w="9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5,058</w:t>
            </w:r>
          </w:p>
        </w:tc>
      </w:tr>
      <w:tr>
        <w:trPr>
          <w:trHeight w:val="23"/>
        </w:trPr>
        <w:tc>
          <w:tcPr>
            <w:tcW w:w="9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data costs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15,529</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Payroll and payroll-related</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Professional fees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Restructuring accrual</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4,456</w:t>
            </w:r>
          </w:p>
        </w:tc>
        <w:tc>
          <w:tcPr>
            <w:tcW w:w="0" w:type="dxa"/>
            <w:vAlign w:val="bottom"/>
          </w:tcPr>
          <w:p>
            <w:pPr>
              <w:spacing w:after="0"/>
              <w:rPr>
                <w:sz w:val="1"/>
                <w:szCs w:val="1"/>
                <w:color w:val="auto"/>
              </w:rPr>
            </w:pPr>
          </w:p>
        </w:tc>
      </w:tr>
      <w:tr>
        <w:trPr>
          <w:trHeight w:val="207"/>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accrued expenses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35,013</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34,422</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certain long-term contractual arrangements that have fixed and determinable payment obligations including unconditional purchase obligations with MVPDs and other providers for set-top box and connected (Smart) television data. These agreements have remaining terms from less than one year to six years. As of December 31, 2024, the total fixed payment obligations related to set-top box and connected television data agreements are $125.5 million and $25.4 million, respectively.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below summarizes the contractual obligations, by year, as of December 31, 2024: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r>
      <w:tr>
        <w:trPr>
          <w:trHeight w:val="23"/>
        </w:trPr>
        <w:tc>
          <w:tcPr>
            <w:tcW w:w="9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0"/>
        </w:trPr>
        <w:tc>
          <w:tcPr>
            <w:tcW w:w="9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40,285</w:t>
            </w:r>
          </w:p>
        </w:tc>
      </w:tr>
      <w:tr>
        <w:trPr>
          <w:trHeight w:val="213"/>
        </w:trPr>
        <w:tc>
          <w:tcPr>
            <w:tcW w:w="9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40,266</w:t>
            </w:r>
          </w:p>
        </w:tc>
      </w:tr>
      <w:tr>
        <w:trPr>
          <w:trHeight w:val="219"/>
        </w:trPr>
        <w:tc>
          <w:tcPr>
            <w:tcW w:w="9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26,135</w:t>
            </w:r>
          </w:p>
        </w:tc>
      </w:tr>
      <w:tr>
        <w:trPr>
          <w:trHeight w:val="213"/>
        </w:trPr>
        <w:tc>
          <w:tcPr>
            <w:tcW w:w="9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15,903</w:t>
            </w:r>
          </w:p>
        </w:tc>
      </w:tr>
      <w:tr>
        <w:trPr>
          <w:trHeight w:val="219"/>
        </w:trPr>
        <w:tc>
          <w:tcPr>
            <w:tcW w:w="9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2029</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14,115</w:t>
            </w:r>
          </w:p>
        </w:tc>
      </w:tr>
      <w:tr>
        <w:trPr>
          <w:trHeight w:val="213"/>
        </w:trPr>
        <w:tc>
          <w:tcPr>
            <w:tcW w:w="9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14,163</w:t>
            </w:r>
          </w:p>
        </w:tc>
      </w:tr>
      <w:tr>
        <w:trPr>
          <w:trHeight w:val="234"/>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150,867</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expects to make variable payments related to a set-top box data agreement totaling an estimated $108.8 million over the next seven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involved in various legal proceedings from time to time. The Company establishes reserves for specific legal proceedings when management determines that the likelihood of an unfavorable outcome is probable, and the amount of loss can be reasonably estimated. The Company has also identified certain other legal matters where an unfavorable outcome is reasonably possible and/or for which no estimate of possible losses can be made. In these cases, the Company does not establish a reserve until it can reasonably estimate the loss. Legal fees related to contingencies are expensed as incurred. The outcomes of legal proceedings are inherently unpredictable, subject to significant uncertainties, and could be material to the Company's operating results and cash flows for a particular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Sales Tax Audit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2025, the Company received an initial audit assessment from the State of Washington Department of Revenue related to an audit of potential sales tax liabilities in Washington for fiscal years 2020 through 2023. The aggregate assessment calculated by the Department of Revenue, including alleged penalties and interest, was approximately $8.0 million. The Company has petitioned for review of the audit assessment and believes it has a strong position that its activities are not taxable under the applicable terms of Washington law. As of December 31, 2024, the Company cannot reasonably estimate the outcome of the review and the potential liability, if any, that may be incurred in this matter.</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and may become, a party to a variety of legal proceedings from time to time that arise in the normal course of the Company's business. While the results of such legal proceedings cannot be predicted with certainty, management believes that, based on current knowledge, the final outcome of any such current pending matters will not have a material adverse effect on the Company's financial position, results of operations or cash flows. Regardless of the outcome, legal proceedings can have an adverse effect on the Company because of defense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the Company's directors and certain officers, and the Company's amended and restated certificate of incorporation requires it to indemnify each of its directors and officers, to the fullest extent permitted by Delaware law, who was or is a party or is threatened to be made a party to any threatened, pending or completed action, suit or proceeding by reason of the fact that he or she is or was a director or officer of the Company. The Company has paid and may in the future pay legal counsel fees incurred by current and former directors and officers who are involved in legal proceedings that require indemnification.</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Similarly, certain of the Company's commercial contracts require it to indemnify contract counterparties under specified circumstances, and the Company may incur legal counsel fees and other costs in connection with these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loss before income tax provision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Domestic</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(61,420)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(79,078)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(69,981)</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Foreign</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5,144</w:t>
            </w:r>
          </w:p>
        </w:tc>
        <w:tc>
          <w:tcPr>
            <w:tcW w:w="0" w:type="dxa"/>
            <w:vAlign w:val="bottom"/>
          </w:tcPr>
          <w:p>
            <w:pPr>
              <w:spacing w:after="0"/>
              <w:rPr>
                <w:sz w:val="1"/>
                <w:szCs w:val="1"/>
                <w:color w:val="auto"/>
              </w:rPr>
            </w:pPr>
          </w:p>
        </w:tc>
      </w:tr>
      <w:tr>
        <w:trPr>
          <w:trHeight w:val="234"/>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(59,324)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(77,828)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(64,837)</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provision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w:t>
            </w: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Federal</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State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Foreign</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0" w:type="dxa"/>
            <w:vAlign w:val="bottom"/>
          </w:tcPr>
          <w:p>
            <w:pPr>
              <w:spacing w:after="0"/>
              <w:rPr>
                <w:sz w:val="1"/>
                <w:szCs w:val="1"/>
                <w:color w:val="auto"/>
              </w:rPr>
            </w:pP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0" w:type="dxa"/>
            <w:vAlign w:val="bottom"/>
          </w:tcPr>
          <w:p>
            <w:pPr>
              <w:spacing w:after="0"/>
              <w:rPr>
                <w:sz w:val="1"/>
                <w:szCs w:val="1"/>
                <w:color w:val="auto"/>
              </w:rPr>
            </w:pPr>
          </w:p>
        </w:tc>
      </w:tr>
      <w:tr>
        <w:trPr>
          <w:trHeight w:val="214"/>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Deferred</w:t>
            </w: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Federal</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State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0" w:type="dxa"/>
            <w:vAlign w:val="bottom"/>
          </w:tcPr>
          <w:p>
            <w:pPr>
              <w:spacing w:after="0"/>
              <w:rPr>
                <w:sz w:val="1"/>
                <w:szCs w:val="1"/>
                <w:color w:val="auto"/>
              </w:rPr>
            </w:pPr>
          </w:p>
        </w:tc>
      </w:tr>
      <w:tr>
        <w:trPr>
          <w:trHeight w:val="207"/>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0" w:type="dxa"/>
            <w:vAlign w:val="bottom"/>
          </w:tcPr>
          <w:p>
            <w:pPr>
              <w:spacing w:after="0"/>
              <w:rPr>
                <w:sz w:val="1"/>
                <w:szCs w:val="1"/>
                <w:color w:val="auto"/>
              </w:rPr>
            </w:pPr>
          </w:p>
        </w:tc>
      </w:tr>
      <w:tr>
        <w:trPr>
          <w:trHeight w:val="235"/>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statutory U.S. income tax rate to the effective income tax rate is as follows:</w:t>
      </w:r>
    </w:p>
    <w:p>
      <w:pPr>
        <w:spacing w:after="0" w:line="124"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5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Statutory federal tax rate</w:t>
            </w:r>
          </w:p>
        </w:tc>
        <w:tc>
          <w:tcPr>
            <w:tcW w:w="9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75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State taxes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7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nondeductible/nontaxable items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13"/>
        </w:trPr>
        <w:tc>
          <w:tcPr>
            <w:tcW w:w="75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Foreign rate differences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7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3"/>
        </w:trPr>
        <w:tc>
          <w:tcPr>
            <w:tcW w:w="75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Stock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7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Executive compensation</w:t>
            </w:r>
          </w:p>
        </w:tc>
        <w:tc>
          <w:tcPr>
            <w:tcW w:w="158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75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Goodwill impairment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19"/>
        </w:trPr>
        <w:tc>
          <w:tcPr>
            <w:tcW w:w="7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adjustments</w:t>
            </w:r>
          </w:p>
        </w:tc>
        <w:tc>
          <w:tcPr>
            <w:tcW w:w="158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75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Uncertain tax positions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34"/>
        </w:trPr>
        <w:tc>
          <w:tcPr>
            <w:tcW w:w="6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recognized income tax expense of $0.9 million during the year ended December 31, 2024, which is comprised of current tax expense of $1.8 million related to foreign taxes and state taxes and deferred tax benefit of $0.8 million related to both U.S. and foreign taxes. Included in tax expense is an income tax adjustment of $17.2 million related to the impairment of goodwill. Also included in total tax expense is income tax benefit of $2.5 million for a decrease in the valuation allowance recorded against the Company's deferred tax assets to offset the tax expense of the Company's operating losses in the U.S. and certain foreign jurisdictions. Income tax expense of $0.9 million has also been included for permanent differences in the book and tax treatment of certain stock-based compensation, local statutory to U.S. GAAP adjustments and other nondeductible expenses. These tax adjustments, along with state and local taxes, are the primary drivers of the annual effective income tax rate.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recognized income tax expense of $1.5 million during the year ended December 31, 2023, which is primarily comprised of current tax expense of $1.6 million related to foreign taxes and state taxes. Included in tax expense is an income tax adjustment of $20.9 million related to the impairment of goodwill. Also included in total tax expense is income tax expense of $15.1 million for an increase in the valuation allowance recorded against the Company's deferred tax assets to offset the tax benefit of the Company's operating losses in the U.S. Income tax expense of $0.7 million has also been included for permanent differences in the book and tax treatment of certain stock-based compensation, executive compensation and other nondeductible expenses. These tax adjustments, along with state and local taxes, are the primary drivers of the annual effective income tax rate.</w:t>
      </w:r>
    </w:p>
    <w:p>
      <w:pPr>
        <w:spacing w:after="0" w:line="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recognized income tax expense of $1.7 million during the year ended December 31, 2022, which is primarily comprised of current tax expense of $2.2 million related to foreign taxes and state taxes and a deferred tax benefit of $0.5 million related to temporary differences between the tax treatment and GAAP accounting treatment for certain items. Included in total tax expense is income tax benefit of $2.6 million for permanent differences in the book and tax treatment of nontaxable gain on fair market value adjustment of stock warrants, offset by certain nondeductible stock-based compensation and executive compensation. Also included in the total tax expense is an income tax adjustment of $12.7 million related to the impairment of goodwill. Income tax expense of $18.5 million has also been included for an increase in the valuation allowance recorded against the Company's deferred tax assets to offset the tax benefit of the Company's operating losses in the U.S. and certain foreign jurisdictions. These tax adjustments, along with state and local taxes and book losses in foreign jurisdictions where the income tax rate is substantially lower than the U.S. federal statutory rate, are the primary drivers of the annual effective income tax rate.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 of assets and liabilities for financial reporting purposes and the amounts used for income tax reporting purposes. The components of net deferred income taxes 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176,369</w:t>
            </w:r>
          </w:p>
        </w:tc>
        <w:tc>
          <w:tcPr>
            <w:tcW w:w="8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191,657</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Lease liability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11,068</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revenues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18,386</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5,135</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 credits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contingencies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 loss carryforwards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Property and equipment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Capitalized research and development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34,815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25,693</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deferred tax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256,154</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262,652</w:t>
            </w:r>
          </w:p>
        </w:tc>
        <w:tc>
          <w:tcPr>
            <w:tcW w:w="0" w:type="dxa"/>
            <w:vAlign w:val="bottom"/>
          </w:tcPr>
          <w:p>
            <w:pPr>
              <w:spacing w:after="0"/>
              <w:rPr>
                <w:sz w:val="1"/>
                <w:szCs w:val="1"/>
                <w:color w:val="auto"/>
              </w:rPr>
            </w:pPr>
          </w:p>
        </w:tc>
      </w:tr>
      <w:tr>
        <w:trPr>
          <w:trHeight w:val="207"/>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Valuation allowance</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(247,772)</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(251,253)</w:t>
            </w:r>
          </w:p>
        </w:tc>
        <w:tc>
          <w:tcPr>
            <w:tcW w:w="0" w:type="dxa"/>
            <w:vAlign w:val="bottom"/>
          </w:tcPr>
          <w:p>
            <w:pPr>
              <w:spacing w:after="0"/>
              <w:rPr>
                <w:sz w:val="1"/>
                <w:szCs w:val="1"/>
                <w:color w:val="auto"/>
              </w:rPr>
            </w:pPr>
          </w:p>
        </w:tc>
      </w:tr>
      <w:tr>
        <w:trPr>
          <w:trHeight w:val="235"/>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8,382</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11,399</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Lease asset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(5,583)</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and equipment</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Subpart F income recapture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(6,649)</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(10,132)</w:t>
            </w:r>
          </w:p>
        </w:tc>
        <w:tc>
          <w:tcPr>
            <w:tcW w:w="0" w:type="dxa"/>
            <w:vAlign w:val="bottom"/>
          </w:tcPr>
          <w:p>
            <w:pPr>
              <w:spacing w:after="0"/>
              <w:rPr>
                <w:sz w:val="1"/>
                <w:szCs w:val="1"/>
                <w:color w:val="auto"/>
              </w:rPr>
            </w:pPr>
          </w:p>
        </w:tc>
      </w:tr>
      <w:tr>
        <w:trPr>
          <w:trHeight w:val="207"/>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tax asset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Valuation Allowance</w:t>
      </w:r>
    </w:p>
    <w:p>
      <w:pPr>
        <w:spacing w:after="0" w:line="9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of December 31, 2024 and 2023, the Company had a valuation allowance of $247.8 million and $251.3 million, respectively, against certain deferred tax assets. The valuation allowance relates to the deferred tax assets of the Company's U.S. entities, including federal and state tax attributes and timing differences, as well as the deferred tax assets of certain foreign subsidiaries. The decrease in the valuation allowance during 2024 is primarily due to the decrease in U.S. net operating loss carryforwards, net of the increase in capitalized R&amp;E expenditures under Section 174. To the extent the Company determines that, based on the weight of available evidence, all or a portion of its valuation allowance is no longer necessary, the Company will recognize an income tax benefit in the period such determination is made for the reversal of the valuation allowance. If management determines that, based on the weight of available evidence, it is more-likely-than-not that all or a portion of the net deferred tax assets will not be realized, the Company may recognize income tax expense in the period such determination is made to increase the valuation allowance. It is possible that such reduction of or addition to the Company's valuation allowance may have a material impact on the Company's results from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deferred tax asset valuation allowance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97"/>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251,253</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250,994</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Additions from continuing operations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Reductions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207"/>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247,772</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251,253</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 and Credit Carryforwards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provisions of Internal Revenue Code Section 382, certain substantial changes in the Company's ownership may result in a limitation on the amount of U.S. net operating loss carryforwards that can be utilized annually to offset future taxable income and taxes payable. During 2023, the Company concluded that the Transactions triggered an ownership change on May 10, 2021, and as a result, all of its U.S. net operating loss carryforwards are subject to an annual limitation under Section 382. Additionally, despite the net operating loss carryforwards, the Company may have a future income tax liability due to foreign income tax or state income tax requirements.</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had U.S. federal and state net operating loss carryforwards for tax purposes of $539.0 million and $1.5 billion, respectively. The Company estimates that $436.2 million of its U.S. federal and $1.3 billion of its state net operating loss carryforwards are utilizable given the annual limitations under Section 382. The Company's net operating loss carryforwards began to expire in 2025 for federal and 2026 for state income tax purposes. The federal and certain state net operating losses generated after December 31, 2017 have an indefinite carryforward period. As of December 31, 2024, the Company had an aggregate net operating loss carryforward for tax purposes related to its foreign subsidiaries of $6.3 million, which begins to expire in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 had research and development credit carryforwards of $3.1 million which begin to expire in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Undistributed Earnings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has certain foreign subsidiaries with accumulated undistributed earnings. The TCJA allows for a dividend received deduction resulting in no material U.S. federal income tax upon repatriation of these earnings. The Company intends to indefinitely reinvest these earnings, as well as future earnings from its foreign subsidiaries, to fund its international operations and therefore has not accrued any related foreign withholding taxes or state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uncertain tax positions, the Company uses a more-likely-than-not recognition threshold based on the technical merits of the tax position taken. Tax positions that meet the more-likely-than-not recognition threshold are measured as the largest amount of tax benefits determined on a cumulative probability basis, which are more likely than not to be realized upon ultimate settlement in the financial statements. The Company has unrecognized tax benefits, which are tax benefits related to uncertain tax positions which have been or will be reflected in income tax filings that have not been recognized in the financial statements due to potential adjustments by taxing authorities in the applicable jurisdictions. The Company's liability for unrecognized tax benefits, which include interest and penalties, was $0.8 million and $0.7 million for the years ended December 31, 2024 and 2023, respectively. The remaining unrecognized tax benefits have reduced deferred tax balances. The amount of unrecognized tax benefits that, if recognized, would affect the Company's effective tax rate is $1.8 million as of December 31, 2024 and $2.0 million as of December 31, 2023 and 2022, respectively. The amount of unrecognized tax benefits includes the federal tax benefit of state deductions. The Company anticipates $0.1 million of unrecognized tax benefits will reverse during the next year due to the expiration of statutes of limitation.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Company's unrecognized income tax benefits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Increase related to tax positions of the current year</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313"/>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Increase related to tax positions of prior years</w:t>
            </w:r>
          </w:p>
        </w:tc>
        <w:tc>
          <w:tcPr>
            <w:tcW w:w="3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Decrease related to tax positions of prior years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Decrease due to lapse in statutes of limitations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interest and penalties related to income tax matters in income tax expense. As of December 31, 2024 and 2023, accrued interest and penalties on unrecognized tax benefits were $0.2 million. The Company or one of its subsidiaries files income tax returns in the U.S. federal jurisdiction, and various state and foreign jurisdictions. For income tax returns filed by the Company, the Company is generally no longer subject to U.S. federal examinations by tax authorities for years prior to 2021 or state and local tax examinations by tax authorities for years prior to 2020. The Company is no longer subject to examination by tax authorities in the Netherlands for years prior to 2018. However, tax attribute carryforwards may still be adjusted upon examination by tax authorities.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WPP</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(based on public filings), WPP plc and its affiliates ("WPP") owned 565,968 shares of the Company's outstanding Common Stock, representing 11.6% of the outstanding Common Stock. The Company provides WPP and its affiliates, in the normal course of business, services amongst its different products and receives various services from WPP supporting the Company's data collection efforts.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results from transactions with WPP, as reflected in the Consolidated Statements of Operations and Comprehensive Loss, are detailed below:</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11,677</w:t>
            </w: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following balances related to transactions with WPP, as reflected in the Consolidated Balance Sheets: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8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8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210"/>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Contract liabilities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Charter, Qurate, Liberty and Pine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May 15, 2023, Charter, Qurate and Pine each held 33.3% of the outstanding shares of Preferred Stock. On May 16, 2023, Qurate sold its Preferred Stock to Liberty, and as of December 31, 2024, Charter, Liberty and Pine each hold 33.3% of the outstanding shares of Preferred Stock. Charter, Liberty and Pine are entitled to convert the Preferred Stock into shares of Common Stock and to vote as a single class with the holders of the Common Stock as set forth in the Certificate of Designations. As of December 31, 2024 (based on public filings), Pine also owned 109,654 shares of the Company's outstanding Common Stock, representing 2.2% of the outstanding Common Stock. In addition, Charter, Liberty and Pine each designated two members of the Company's Board in accordance with the Stockholders Agreement.</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Annual Meeting on June 15, 2023, the Company's stockholders approved proposals permitting the payment of annual dividends on the Preferred Stock in the form of cash, shares of Common Stock, additional shares of Preferred Stock, or a combination thereof, subject to conditions set forth in the Certificate of Designations. On the same date, each holder of Preferred Stock waived its right to receive on June 30, 2023 the annual dividends otherwise payable by the Company on that date. Under the waivers and the Certificate of Designations, the deferred dividends would accrue at a rate of 9.5% per year from June 30, 2023 until declared and paid, with payment to occur on or before December 31, 2023.</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26, 2023, each holder of Preferred Stock waived its right to receive the deferred dividends on or before December 31, 2023. Under the waivers and the Certificate of Designations, the deferred dividends would continue to accrue at a rate of 9.5% per year until paid, with payment to occur on or before June 30, 2024.</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27, 2024, each holder of Preferred Stock further waived its right to receive the deferred dividends on or before June 30, 2024. In addition, each holder waived its right to receive on June 30, 2024 the annual dividends otherwise payable on that date for the dividend period ending June 29, 2024. Under these waivers and the Certificate of Designations, the deferred dividends for both periods (2023 and 2024) would continue to accrue and accumulate at a rate of 9.5% per year until declared and paid, with payment to occur on or before July 31, 2024.</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July 24, 2024, the Company issued 13,257,294 additional shares of Preferred Stock to the existing holders of Preferred Stock in exchange for cancellation of the Company's obligation to pay the deferred dividends totaling $32.8 million to such holders for annual dividend periods ended in 2023 and 2024. For further information refer to </w:t>
      </w:r>
      <w:r>
        <w:rPr>
          <w:rFonts w:ascii="Times New Roman" w:cs="Times New Roman" w:eastAsia="Times New Roman" w:hAnsi="Times New Roman"/>
          <w:sz w:val="18"/>
          <w:szCs w:val="18"/>
          <w:u w:val="single" w:color="auto"/>
          <w:color w:val="0000FF"/>
        </w:rPr>
        <w:t>Footnote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Redeemable Preferred Stock and Stockholders' Equity (Deficit)</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Charter, Liberty and Pine each owned 31,928,301 shares of the Company's outstanding Preferred Stock.</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and December 31, 2023, total accrued dividends to the holders of Preferred Stock were $9.0 million and $24.1 million, respectively.</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Concurrent with the closing of the Transactions on March 10, 2021, the Company entered into a ten-year Data License Agreement ("DLA") with Charter Communications Operating, LLC ("Charter Operating"), an affiliate of Charter. Under the original DLA, Charter Operating would bill the Company for license fees according to a payment schedule that gradually increased from $10.0 million in the first year of the term to $32.3 million in the tenth year of the term. The Company recognizes expense for the license fees ratably over the term. On November 6, 2022, the Company and Charter Operating entered into an amendment to the DLA, pursuant to which the Company received license fee credits totaling $7.0 million. On December 31, 2024, the Company and Charter Operating entered into another amendment (the "2024 Amendment") under which the Company will pay fees based on household counts provided by Charter Operating during the period. The 2024 Amendment was conditioned upon the Company's payment of arrears due to Charter under the DLA, which were paid in full on December 31, 2024.</w:t>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results from transactions with Charter and its affiliates, as reflected in the Consolidated Statements of Operations and Comprehensive Loss, are detailed below:</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following liability balances related to transactions with Charter and its affiliates, as reflected in the Consolidated Balance Sheets: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10,323</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portion of accrued data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21,908</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no transactions with Pine and Liberty in 2024, other than the 2024 Preferred Stock issuance. In 2023, the Company entered into a finance lease with a third-party vendor that is not a related party. In conjunction with this transaction, the third-party vendor purchased equipment for $2.5 million from a Pine affiliate (related party). The Company had no additional transactions with Pine and no transactions with Liberty for the years ended December 31, 2023 and 2022.</w:t>
      </w:r>
    </w:p>
    <w:p>
      <w:pPr>
        <w:spacing w:after="0" w:line="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revenues of $0.9 million from transactions with Qurate and its affiliates in the normal course of business during the years ended December 31, 2024, 2023 and 2022, respectively, as reflected in the Consolidated Statements of Operations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 business that can earn revenues and incur expenses for which discrete financial information is available and is evaluated on a regular basis by the chief operating decision maker ("CODM"). The Company's CODM is its Chief Executive Officer, who decides how to allocate resources and assess performance. The Company operates as one operating segment. A single management team reports to the CODM, who manages the business on a consolidated basis.</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CODM uses consolidated net income to make decisions, allocate resources and assess performance. The following table presents financial information that is presented to the CODM with respect to the Company's single operating segment for the years ended December 31, 2024, 2023 and 2022:</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4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Content &amp; Ad Measurement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301,124</w:t>
            </w:r>
          </w:p>
        </w:tc>
        <w:tc>
          <w:tcPr>
            <w:tcW w:w="80" w:type="dxa"/>
            <w:vAlign w:val="bottom"/>
          </w:tcPr>
          <w:p>
            <w:pPr>
              <w:spacing w:after="0"/>
              <w:rPr>
                <w:sz w:val="18"/>
                <w:szCs w:val="18"/>
                <w:color w:val="auto"/>
              </w:rPr>
            </w:pPr>
          </w:p>
        </w:tc>
        <w:tc>
          <w:tcPr>
            <w:tcW w:w="4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309,904</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307,479</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Syndicated Audience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260,654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276,101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282,238</w:t>
            </w:r>
          </w:p>
        </w:tc>
        <w:tc>
          <w:tcPr>
            <w:tcW w:w="0" w:type="dxa"/>
            <w:vAlign w:val="bottom"/>
          </w:tcPr>
          <w:p>
            <w:pPr>
              <w:spacing w:after="0"/>
              <w:rPr>
                <w:sz w:val="1"/>
                <w:szCs w:val="1"/>
                <w:color w:val="auto"/>
              </w:rPr>
            </w:pPr>
          </w:p>
        </w:tc>
      </w:tr>
      <w:tr>
        <w:trPr>
          <w:trHeight w:val="213"/>
        </w:trPr>
        <w:tc>
          <w:tcPr>
            <w:tcW w:w="5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Cross Platform</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40,470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25,241</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Research &amp; Insight Solutions</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54,923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61,439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68,944</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356,047</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371,343</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376,423</w:t>
            </w:r>
          </w:p>
        </w:tc>
        <w:tc>
          <w:tcPr>
            <w:tcW w:w="0" w:type="dxa"/>
            <w:vAlign w:val="bottom"/>
          </w:tcPr>
          <w:p>
            <w:pPr>
              <w:spacing w:after="0"/>
              <w:rPr>
                <w:sz w:val="1"/>
                <w:szCs w:val="1"/>
                <w:color w:val="auto"/>
              </w:rPr>
            </w:pPr>
          </w:p>
        </w:tc>
      </w:tr>
      <w:tr>
        <w:trPr>
          <w:trHeight w:val="199"/>
        </w:trPr>
        <w:tc>
          <w:tcPr>
            <w:tcW w:w="5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136,831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137,722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137,163</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125,946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133,934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146,313</w:t>
            </w:r>
          </w:p>
        </w:tc>
        <w:tc>
          <w:tcPr>
            <w:tcW w:w="0" w:type="dxa"/>
            <w:vAlign w:val="bottom"/>
          </w:tcPr>
          <w:p>
            <w:pPr>
              <w:spacing w:after="0"/>
              <w:rPr>
                <w:sz w:val="1"/>
                <w:szCs w:val="1"/>
                <w:color w:val="auto"/>
              </w:rPr>
            </w:pPr>
          </w:p>
        </w:tc>
      </w:tr>
      <w:tr>
        <w:trPr>
          <w:trHeight w:val="213"/>
        </w:trPr>
        <w:tc>
          <w:tcPr>
            <w:tcW w:w="5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Professional fees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22,042</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Facilities &amp; office expense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12,915</w:t>
            </w:r>
          </w:p>
        </w:tc>
        <w:tc>
          <w:tcPr>
            <w:tcW w:w="0" w:type="dxa"/>
            <w:vAlign w:val="bottom"/>
          </w:tcPr>
          <w:p>
            <w:pPr>
              <w:spacing w:after="0"/>
              <w:rPr>
                <w:sz w:val="1"/>
                <w:szCs w:val="1"/>
                <w:color w:val="auto"/>
              </w:rPr>
            </w:pPr>
          </w:p>
        </w:tc>
      </w:tr>
      <w:tr>
        <w:trPr>
          <w:trHeight w:val="213"/>
        </w:trPr>
        <w:tc>
          <w:tcPr>
            <w:tcW w:w="5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Software licenses, maintenance and systems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12,770</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Travel &amp; entertainment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5,379</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8,011</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6,216</w:t>
            </w: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176,854</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189,590</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201,792</w:t>
            </w:r>
          </w:p>
        </w:tc>
        <w:tc>
          <w:tcPr>
            <w:tcW w:w="0" w:type="dxa"/>
            <w:vAlign w:val="bottom"/>
          </w:tcPr>
          <w:p>
            <w:pPr>
              <w:spacing w:after="0"/>
              <w:rPr>
                <w:sz w:val="1"/>
                <w:szCs w:val="1"/>
                <w:color w:val="auto"/>
              </w:rPr>
            </w:pPr>
          </w:p>
        </w:tc>
      </w:tr>
      <w:tr>
        <w:trPr>
          <w:trHeight w:val="199"/>
        </w:trPr>
        <w:tc>
          <w:tcPr>
            <w:tcW w:w="5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&amp; amortization</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46,288</w:t>
            </w:r>
          </w:p>
        </w:tc>
        <w:tc>
          <w:tcPr>
            <w:tcW w:w="0" w:type="dxa"/>
            <w:vAlign w:val="bottom"/>
          </w:tcPr>
          <w:p>
            <w:pPr>
              <w:spacing w:after="0"/>
              <w:rPr>
                <w:sz w:val="1"/>
                <w:szCs w:val="1"/>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8,178</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Non-recurring expenses (income)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(5,646)</w:t>
            </w:r>
          </w:p>
        </w:tc>
        <w:tc>
          <w:tcPr>
            <w:tcW w:w="0" w:type="dxa"/>
            <w:vAlign w:val="bottom"/>
          </w:tcPr>
          <w:p>
            <w:pPr>
              <w:spacing w:after="0"/>
              <w:rPr>
                <w:sz w:val="1"/>
                <w:szCs w:val="1"/>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&amp; transformation</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6,270</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64,397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79,702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46,300</w:t>
            </w:r>
          </w:p>
        </w:tc>
        <w:tc>
          <w:tcPr>
            <w:tcW w:w="0" w:type="dxa"/>
            <w:vAlign w:val="bottom"/>
          </w:tcPr>
          <w:p>
            <w:pPr>
              <w:spacing w:after="0"/>
              <w:rPr>
                <w:sz w:val="1"/>
                <w:szCs w:val="1"/>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w:t>
            </w: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0" w:type="dxa"/>
            <w:vAlign w:val="bottom"/>
          </w:tcPr>
          <w:p>
            <w:pPr>
              <w:spacing w:after="0"/>
              <w:rPr>
                <w:sz w:val="1"/>
                <w:szCs w:val="1"/>
                <w:color w:val="auto"/>
              </w:rPr>
            </w:pPr>
          </w:p>
        </w:tc>
      </w:tr>
      <w:tr>
        <w:trPr>
          <w:trHeight w:val="212"/>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(60,248)</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(79,361)</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(66,561)</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Organizational Restructuring</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29, 2022, the Company communicated a workforce reduction as part of its broader efforts to improve cost efficiency and better align its operating structure and resources with strategic priorities (collectively, the "Restructuring Plan"). In addition to employee terminations, the Restructuring Plan included the reallocation of commercial and product development resources; reinvestment in and modernization of key technology platforms; consolidation of data storage and processing activities to reduce the Company's data center footprint; and reduction of other operating expenses, including software and facility costs. In connection with the Restructuring Plan, which was authorized by the Board on September 19, 2022, the Company incurred certain exit-related costs. The Restructuring Plan was substantially completed in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costs incurred related to the Restructuring Plan for the years ended December 31, 2024, 2023, and 2022.</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Severance and related costs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restructuring</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the changes in the accrued amounts for the years ended December 31, 2024 and 2023 and the balance of the restructuring liability as of December 31, 2024 and 2023, which is recorded in accrued expenses in the Consolidated Balance Sheets:</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3"/>
                <w:szCs w:val="13"/>
                <w:color w:val="auto"/>
              </w:rPr>
            </w:pP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Severance and Related</w:t>
            </w:r>
          </w:p>
        </w:tc>
        <w:tc>
          <w:tcPr>
            <w:tcW w:w="360" w:type="dxa"/>
            <w:vAlign w:val="bottom"/>
          </w:tcPr>
          <w:p>
            <w:pPr>
              <w:spacing w:after="0"/>
              <w:rPr>
                <w:sz w:val="13"/>
                <w:szCs w:val="13"/>
                <w:color w:val="auto"/>
              </w:rPr>
            </w:pP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148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Total Restructuring</w:t>
            </w:r>
          </w:p>
        </w:tc>
        <w:tc>
          <w:tcPr>
            <w:tcW w:w="0" w:type="dxa"/>
            <w:vAlign w:val="bottom"/>
          </w:tcPr>
          <w:p>
            <w:pPr>
              <w:spacing w:after="0"/>
              <w:rPr>
                <w:sz w:val="1"/>
                <w:szCs w:val="1"/>
                <w:color w:val="auto"/>
              </w:rPr>
            </w:pPr>
          </w:p>
        </w:tc>
      </w:tr>
      <w:tr>
        <w:trPr>
          <w:trHeight w:val="195"/>
        </w:trPr>
        <w:tc>
          <w:tcPr>
            <w:tcW w:w="6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14"/>
        </w:trPr>
        <w:tc>
          <w:tcPr>
            <w:tcW w:w="61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Restructuring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6,234</w:t>
            </w:r>
          </w:p>
        </w:tc>
        <w:tc>
          <w:tcPr>
            <w:tcW w:w="0" w:type="dxa"/>
            <w:vAlign w:val="bottom"/>
          </w:tcPr>
          <w:p>
            <w:pPr>
              <w:spacing w:after="0"/>
              <w:rPr>
                <w:sz w:val="1"/>
                <w:szCs w:val="1"/>
                <w:color w:val="auto"/>
              </w:rPr>
            </w:pPr>
          </w:p>
        </w:tc>
      </w:tr>
      <w:tr>
        <w:trPr>
          <w:trHeight w:val="213"/>
        </w:trPr>
        <w:tc>
          <w:tcPr>
            <w:tcW w:w="6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(5,804)</w:t>
            </w:r>
          </w:p>
        </w:tc>
        <w:tc>
          <w:tcPr>
            <w:tcW w:w="0" w:type="dxa"/>
            <w:vAlign w:val="bottom"/>
          </w:tcPr>
          <w:p>
            <w:pPr>
              <w:spacing w:after="0"/>
              <w:rPr>
                <w:sz w:val="1"/>
                <w:szCs w:val="1"/>
                <w:color w:val="auto"/>
              </w:rPr>
            </w:pPr>
          </w:p>
        </w:tc>
      </w:tr>
      <w:tr>
        <w:trPr>
          <w:trHeight w:val="219"/>
        </w:trPr>
        <w:tc>
          <w:tcPr>
            <w:tcW w:w="6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exchange</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07"/>
        </w:trPr>
        <w:tc>
          <w:tcPr>
            <w:tcW w:w="6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balance as of December 31, 2023</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0" w:type="dxa"/>
            <w:vAlign w:val="bottom"/>
          </w:tcPr>
          <w:p>
            <w:pPr>
              <w:spacing w:after="0"/>
              <w:rPr>
                <w:sz w:val="1"/>
                <w:szCs w:val="1"/>
                <w:color w:val="auto"/>
              </w:rPr>
            </w:pPr>
          </w:p>
        </w:tc>
      </w:tr>
      <w:tr>
        <w:trPr>
          <w:trHeight w:val="219"/>
        </w:trPr>
        <w:tc>
          <w:tcPr>
            <w:tcW w:w="6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Restructuring expense</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0" w:type="dxa"/>
            <w:vAlign w:val="bottom"/>
          </w:tcPr>
          <w:p>
            <w:pPr>
              <w:spacing w:after="0"/>
              <w:rPr>
                <w:sz w:val="1"/>
                <w:szCs w:val="1"/>
                <w:color w:val="auto"/>
              </w:rPr>
            </w:pPr>
          </w:p>
        </w:tc>
      </w:tr>
      <w:tr>
        <w:trPr>
          <w:trHeight w:val="213"/>
        </w:trPr>
        <w:tc>
          <w:tcPr>
            <w:tcW w:w="6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(2,467)</w:t>
            </w:r>
          </w:p>
        </w:tc>
        <w:tc>
          <w:tcPr>
            <w:tcW w:w="0" w:type="dxa"/>
            <w:vAlign w:val="bottom"/>
          </w:tcPr>
          <w:p>
            <w:pPr>
              <w:spacing w:after="0"/>
              <w:rPr>
                <w:sz w:val="1"/>
                <w:szCs w:val="1"/>
                <w:color w:val="auto"/>
              </w:rPr>
            </w:pPr>
          </w:p>
        </w:tc>
      </w:tr>
      <w:tr>
        <w:trPr>
          <w:trHeight w:val="219"/>
        </w:trPr>
        <w:tc>
          <w:tcPr>
            <w:tcW w:w="6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07"/>
        </w:trPr>
        <w:tc>
          <w:tcPr>
            <w:tcW w:w="6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balance as of December 31, 2024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3"/>
        </w:trPr>
        <w:tc>
          <w:tcPr>
            <w:tcW w:w="6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carried out an evaluation required by the Securities Exchange Act of 1934 (the "Exchange Act"), under the supervision and with the participation of our principal executive officer and our principal financial officer, of the effectiveness of the design and operation of our disclosure controls and procedures, as defined in Rules 13a-15(e) and 15d-15(e) of the Exchange Act, as of December 31, 2024. Based on this evaluation, our principal executive officer and principal financial officer concluded that as of December 31, 2024, these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principal executive officer and principal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and 15d-15(f) of the Exchange Act. Management, under the supervision and with the participation of our principal executive officer and principal financial officer, assessed the effectiveness of our internal control over financial reporting as of December 31, 2024 based on criteria established in Internal Control - Integrated Framework (2013) issued by the Committee of Sponsoring Organizations of the Treadway Commission. As a result of this assessment, management concluded that, as of December 31, 2024, our internal control over financial reporting was effective in providing reasonable assurance regarding the reliability of financial reporting and the preparation of financial statements for external purposes in accordance with generally accepted accounting principles.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Deloitte &amp; Touche LLP, an independent registered public accounting firm, has audited the effectiveness of our internal control over financial reporting as of December 31, 2024, and their report is included below. Deloitte &amp; Touche LLP has also audited, and issued an unqualified opinion with respect to, our Consolidated Financial Statements for 2024, which opinion is included in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auto"/>
        </w:rPr>
        <w:t>, "Financial Statements and Supplementary Data," of this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Exchange Act Rules 13a-15(d) and 15d-15(d), management is required to evaluate, with the participation of our principal executive officer and principal financial officer, any changes in internal control over financial reporting that occurred during each fiscal quarter that materially affected, or are reasonably likely to materially affect, our internal control over financial reporting. There were no changes in our internal control over financial reporting during our most recent fiscal quarter that have materially affected, or are reasonably likely to materially affect, our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 on the Effectiveness of Internal Controls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we cannot assure that such improvements will be sufficient to provide us with effective internal control over financial reporting in future periods.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37" w:lineRule="exact"/>
        <w:rPr>
          <w:sz w:val="20"/>
          <w:szCs w:val="20"/>
          <w:color w:val="auto"/>
        </w:rPr>
      </w:pPr>
    </w:p>
    <w:p>
      <w:pPr>
        <w:ind w:right="5060"/>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comScore, Inc. </w:t>
      </w:r>
      <w:r>
        <w:rPr>
          <w:rFonts w:ascii="Times New Roman" w:cs="Times New Roman" w:eastAsia="Times New Roman" w:hAnsi="Times New Roman"/>
          <w:sz w:val="18"/>
          <w:szCs w:val="18"/>
          <w:b w:val="1"/>
          <w:bCs w:val="1"/>
          <w:color w:val="auto"/>
        </w:rPr>
        <w:t>Opinion on Internal Control over Financial Reporting</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comScore, Inc. and subsidiaries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March 6, 2025, expressed an unqualified opinion on those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8"/>
          <w:szCs w:val="18"/>
          <w:i w:val="1"/>
          <w:iCs w:val="1"/>
          <w:color w:val="auto"/>
        </w:rPr>
        <w:t>Management's Report on Internal Control over Financial Reporting</w:t>
      </w:r>
      <w:r>
        <w:rPr>
          <w:rFonts w:ascii="Times New Roman" w:cs="Times New Roman" w:eastAsia="Times New Roman" w:hAnsi="Times New Roman"/>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310" w:lineRule="exact"/>
        <w:rPr>
          <w:sz w:val="20"/>
          <w:szCs w:val="20"/>
          <w:color w:val="auto"/>
        </w:rPr>
      </w:pPr>
    </w:p>
    <w:p>
      <w:pPr>
        <w:jc w:val="both"/>
        <w:ind w:firstLine="8"/>
        <w:spacing w:after="0" w:line="258" w:lineRule="auto"/>
        <w:tabs>
          <w:tab w:leader="none" w:pos="26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2025, based on a recommendation from the Compensation Committee of the Board, the Board approved a cash retention bonus of $207,307 for the Company's Chief Executive Officer, Jon Carpenter. On March 1, 2025, the Compensation Committee approved cash retention bonuses of $95,000 for the Company's Chief Financial Officer, Mary Margaret Curry, and $73,000 for the Company's Chief Commercial Officer, Steve Bagdasarian. Each retention bonus will be paid in March 2025 subject to the recipient's continued service through March 2026. The recipient must repay the bonus if he or she resigns voluntarily or if his or her employment is terminated by the Company for cause prior to the end of the service period.</w:t>
      </w:r>
    </w:p>
    <w:p>
      <w:pPr>
        <w:spacing w:after="0" w:line="183" w:lineRule="exact"/>
        <w:rPr>
          <w:rFonts w:ascii="Times New Roman" w:cs="Times New Roman" w:eastAsia="Times New Roman" w:hAnsi="Times New Roman"/>
          <w:sz w:val="18"/>
          <w:szCs w:val="18"/>
          <w:color w:val="auto"/>
        </w:rPr>
      </w:pPr>
    </w:p>
    <w:p>
      <w:pPr>
        <w:ind w:right="20" w:firstLine="8"/>
        <w:spacing w:after="0" w:line="282" w:lineRule="auto"/>
        <w:tabs>
          <w:tab w:leader="none" w:pos="26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December 31, 2024, no director or officer (as defined in Rule 16a-1(f) under the Exchange Act) of the Company adopted or terminated any Rule 10b5-1 trading arrangements or non-Rule 10b5-1 trading arrangements (in each case, as defined in Item 408(a) of Regulation S-K).</w:t>
      </w:r>
    </w:p>
    <w:p>
      <w:pPr>
        <w:spacing w:after="0" w:line="239"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66"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3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Certain information regarding our directors and executive officers required by Item 10 of Part III is set forth in </w:t>
      </w:r>
      <w:r>
        <w:rPr>
          <w:rFonts w:ascii="Times New Roman" w:cs="Times New Roman" w:eastAsia="Times New Roman" w:hAnsi="Times New Roman"/>
          <w:sz w:val="18"/>
          <w:szCs w:val="18"/>
          <w:u w:val="single" w:color="auto"/>
          <w:color w:val="0000FF"/>
        </w:rPr>
        <w:t>Item 1</w:t>
      </w:r>
      <w:r>
        <w:rPr>
          <w:rFonts w:ascii="Times New Roman" w:cs="Times New Roman" w:eastAsia="Times New Roman" w:hAnsi="Times New Roman"/>
          <w:sz w:val="18"/>
          <w:szCs w:val="18"/>
          <w:color w:val="auto"/>
        </w:rPr>
        <w:t xml:space="preserve"> of Part I "Business - Executive Officers and Directors." Other information required by Item 10 of Part III, including information regarding any material changes to the process by which security holders may recommend nominees to the Board of Directors and information regarding our insider trading policies and procedures, is incorporated by reference to the information that will be included in our Proxy Statement relating to our 2025 Annual Meeting of Stockholders. Information required by Item 10 of Part III regarding our Audit Committee is incorporated by reference to the information that will be included in our Proxy Statement relating to our 2025 Annual Meeting of Stockholders. Information relating to our compliance with Section 16(a) of the Exchange Act is incorporated by reference to the information that will be included in our Proxy Statement relating to our 2025 Annual Meeting of Stockholders.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principal executive officer, principal financial officer, principal accounting officer or controller, and persons performing similar functions. We have posted the Code of Business Conduct and Ethics on our investor relations website under the heading "Corporate Governance" at www.comscore.com. To the extent permissible under Nasdaq rules, we intend to disclose any amendments to our Code of Business Conduct and Ethics, as well as waivers of the provisions thereof, on our investor relations website under the heading "Corporate Governance" at www.comscore.com.</w:t>
      </w:r>
    </w:p>
    <w:p>
      <w:pPr>
        <w:spacing w:after="0" w:line="220"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3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by Item 11 of Part III is incorporated by reference to the information that will be included in our Proxy Statement relating to our 2025 Annual Meeting of Stockholders.</w:t>
      </w:r>
    </w:p>
    <w:p>
      <w:pPr>
        <w:spacing w:after="0" w:line="198" w:lineRule="exact"/>
        <w:rPr>
          <w:sz w:val="20"/>
          <w:szCs w:val="20"/>
          <w:color w:val="auto"/>
        </w:rPr>
      </w:pPr>
    </w:p>
    <w:p>
      <w:pPr>
        <w:ind w:left="1120" w:right="620" w:hanging="1092"/>
        <w:spacing w:after="0" w:line="239" w:lineRule="auto"/>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3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required by Item 12 of Part III is incorporated by reference to the information that will be included in our Proxy Statement relating to our 2025 Annual Meeting of Stockholders.</w:t>
      </w:r>
    </w:p>
    <w:p>
      <w:pPr>
        <w:spacing w:after="0" w:line="198"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required by Item 13 of Part III is incorporated by reference to the information that will be included in our Proxy Statement relating to our 2025 Annual Meeting of Stockholders.</w:t>
      </w:r>
    </w:p>
    <w:p>
      <w:pPr>
        <w:spacing w:after="0" w:line="198"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3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required by Item 14 of Part III regarding our principal accountant, Deloitte &amp; Touche LLP (PCAOB ID No. 34), is incorporated by reference to the information that will be included in our Proxy Statement relating to our 2025 Annual Meeting of Stockholders.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66"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324" w:lineRule="exact"/>
        <w:rPr>
          <w:sz w:val="20"/>
          <w:szCs w:val="20"/>
          <w:color w:val="auto"/>
        </w:rPr>
      </w:pPr>
    </w:p>
    <w:p>
      <w:pPr>
        <w:ind w:left="700" w:hanging="247"/>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90" w:lineRule="exact"/>
        <w:rPr>
          <w:rFonts w:ascii="Times New Roman" w:cs="Times New Roman" w:eastAsia="Times New Roman" w:hAnsi="Times New Roman"/>
          <w:sz w:val="18"/>
          <w:szCs w:val="18"/>
          <w:color w:val="auto"/>
        </w:rPr>
      </w:pPr>
    </w:p>
    <w:p>
      <w:pPr>
        <w:ind w:right="20" w:firstLine="899"/>
        <w:spacing w:after="0" w:line="282" w:lineRule="auto"/>
        <w:tabs>
          <w:tab w:leader="none" w:pos="115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Financial statements and reports of our independent registered public accounting firm. See (i) Index to Consolidated Financial Statements at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auto"/>
        </w:rPr>
        <w:t xml:space="preserve"> and (ii) </w:t>
      </w:r>
      <w:r>
        <w:rPr>
          <w:rFonts w:ascii="Times New Roman" w:cs="Times New Roman" w:eastAsia="Times New Roman" w:hAnsi="Times New Roman"/>
          <w:sz w:val="18"/>
          <w:szCs w:val="18"/>
          <w:u w:val="single" w:color="auto"/>
          <w:color w:val="0000FF"/>
        </w:rPr>
        <w:t>Item 9A</w:t>
      </w:r>
      <w:r>
        <w:rPr>
          <w:rFonts w:ascii="Times New Roman" w:cs="Times New Roman" w:eastAsia="Times New Roman" w:hAnsi="Times New Roman"/>
          <w:sz w:val="18"/>
          <w:szCs w:val="18"/>
          <w:color w:val="auto"/>
        </w:rPr>
        <w:t xml:space="preserve"> of this Annual Report on Form 10-K.</w:t>
      </w:r>
    </w:p>
    <w:p>
      <w:pPr>
        <w:spacing w:after="0" w:line="40" w:lineRule="exact"/>
        <w:rPr>
          <w:rFonts w:ascii="Times New Roman" w:cs="Times New Roman" w:eastAsia="Times New Roman" w:hAnsi="Times New Roman"/>
          <w:sz w:val="18"/>
          <w:szCs w:val="18"/>
          <w:color w:val="auto"/>
        </w:rPr>
      </w:pPr>
    </w:p>
    <w:p>
      <w:pPr>
        <w:jc w:val="both"/>
        <w:ind w:firstLine="899"/>
        <w:spacing w:after="0" w:line="266" w:lineRule="auto"/>
        <w:tabs>
          <w:tab w:leader="none" w:pos="117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other schedules, for which provision is made in the applicable accounting regulations of the SEC, are omitted, as the required information is inapplicable or the information is presented in the Consolidated Financial Statements and Notes to Consolidated Financial Statements in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this Annual Report on Form 10-K.</w:t>
      </w:r>
    </w:p>
    <w:p>
      <w:pPr>
        <w:spacing w:after="0" w:line="54"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Exhibits. The exhibits filed as part of this report are listed under "Exhibits" at subsection (b) of this </w:t>
      </w:r>
      <w:r>
        <w:rPr>
          <w:rFonts w:ascii="Times New Roman" w:cs="Times New Roman" w:eastAsia="Times New Roman" w:hAnsi="Times New Roman"/>
          <w:sz w:val="18"/>
          <w:szCs w:val="18"/>
          <w:u w:val="single" w:color="auto"/>
          <w:color w:val="0000FF"/>
        </w:rPr>
        <w:t>Item 15</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560" w:type="dxa"/>
            <w:vAlign w:val="bottom"/>
            <w:gridSpan w:val="37"/>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19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560" w:type="dxa"/>
            <w:vAlign w:val="bottom"/>
            <w:gridSpan w:val="37"/>
          </w:tcPr>
          <w:p>
            <w:pPr>
              <w:spacing w:after="0"/>
              <w:rPr>
                <w:sz w:val="20"/>
                <w:szCs w:val="20"/>
                <w:color w:val="auto"/>
              </w:rPr>
            </w:pPr>
            <w:r>
              <w:rPr>
                <w:rFonts w:ascii="Times New Roman" w:cs="Times New Roman" w:eastAsia="Times New Roman" w:hAnsi="Times New Roman"/>
                <w:sz w:val="14"/>
                <w:szCs w:val="14"/>
                <w:b w:val="1"/>
                <w:bCs w:val="1"/>
                <w:color w:val="auto"/>
              </w:rPr>
              <w:t>Document</w:t>
            </w:r>
          </w:p>
        </w:tc>
      </w:tr>
      <w:tr>
        <w:trPr>
          <w:trHeight w:val="255"/>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560" w:type="dxa"/>
            <w:vAlign w:val="bottom"/>
            <w:gridSpan w:val="37"/>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Amended and Restated Certificate of Incorporation of the Registrant (incorporated by reference to Exhibit 3.3 to the Registrant's Registration</w:t>
              </w:r>
            </w:hyperlink>
          </w:p>
        </w:tc>
      </w:tr>
      <w:tr>
        <w:trPr>
          <w:trHeight w:val="156"/>
        </w:trPr>
        <w:tc>
          <w:tcPr>
            <w:tcW w:w="1020" w:type="dxa"/>
            <w:vAlign w:val="bottom"/>
          </w:tcPr>
          <w:p>
            <w:pPr>
              <w:spacing w:after="0"/>
              <w:rPr>
                <w:sz w:val="13"/>
                <w:szCs w:val="13"/>
                <w:color w:val="auto"/>
              </w:rPr>
            </w:pPr>
          </w:p>
        </w:tc>
        <w:tc>
          <w:tcPr>
            <w:tcW w:w="58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Statement on Form S-1, as amended, filed June 12, 2007) (File No. 333-141740)</w:t>
              </w:r>
            </w:hyperlink>
          </w:p>
        </w:tc>
        <w:tc>
          <w:tcPr>
            <w:tcW w:w="46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560" w:type="dxa"/>
            <w:vAlign w:val="bottom"/>
            <w:gridSpan w:val="37"/>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Certificate of Amendment of Amended and Restated Certificate of Incorporation of comScore, Inc. (incorporated by reference to Exhibit 4.2</w:t>
              </w:r>
            </w:hyperlink>
          </w:p>
        </w:tc>
      </w:tr>
      <w:tr>
        <w:trPr>
          <w:trHeight w:val="156"/>
        </w:trPr>
        <w:tc>
          <w:tcPr>
            <w:tcW w:w="1020" w:type="dxa"/>
            <w:vAlign w:val="bottom"/>
          </w:tcPr>
          <w:p>
            <w:pPr>
              <w:spacing w:after="0"/>
              <w:rPr>
                <w:sz w:val="13"/>
                <w:szCs w:val="13"/>
                <w:color w:val="auto"/>
              </w:rPr>
            </w:pPr>
          </w:p>
        </w:tc>
        <w:tc>
          <w:tcPr>
            <w:tcW w:w="104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to the Registrant's Registration Statement on Form S-8, filed June 4, 2018) (File No. 333-225400)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560" w:type="dxa"/>
            <w:vAlign w:val="bottom"/>
            <w:gridSpan w:val="37"/>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Certificate of Designation of Series A Junior Participating Preferred Stock of comScore, Inc., as filed with the Secretary of State of the State</w:t>
              </w:r>
            </w:hyperlink>
          </w:p>
        </w:tc>
      </w:tr>
      <w:tr>
        <w:trPr>
          <w:trHeight w:val="156"/>
        </w:trPr>
        <w:tc>
          <w:tcPr>
            <w:tcW w:w="1020" w:type="dxa"/>
            <w:vAlign w:val="bottom"/>
          </w:tcPr>
          <w:p>
            <w:pPr>
              <w:spacing w:after="0"/>
              <w:rPr>
                <w:sz w:val="13"/>
                <w:szCs w:val="13"/>
                <w:color w:val="auto"/>
              </w:rPr>
            </w:pPr>
          </w:p>
        </w:tc>
        <w:tc>
          <w:tcPr>
            <w:tcW w:w="1028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of Delaware on February 9, 2017 (incorporated by reference to Exhibit 3.1 to the Registrant's Current Report on Form 8-K, filed February 9,</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10500" w:type="dxa"/>
            <w:vAlign w:val="bottom"/>
            <w:gridSpan w:val="34"/>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2017) (File No. 001-33520)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0560" w:type="dxa"/>
            <w:vAlign w:val="bottom"/>
            <w:gridSpan w:val="37"/>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Certificate of Elimination of Designation of Series A Junior Participating Preferred Stock of comScore, Inc., as filed with the Secretary of</w:t>
              </w:r>
            </w:hyperlink>
          </w:p>
        </w:tc>
      </w:tr>
      <w:tr>
        <w:trPr>
          <w:trHeight w:val="155"/>
        </w:trPr>
        <w:tc>
          <w:tcPr>
            <w:tcW w:w="1020" w:type="dxa"/>
            <w:vAlign w:val="bottom"/>
          </w:tcPr>
          <w:p>
            <w:pPr>
              <w:spacing w:after="0"/>
              <w:rPr>
                <w:sz w:val="13"/>
                <w:szCs w:val="13"/>
                <w:color w:val="auto"/>
              </w:rPr>
            </w:pPr>
          </w:p>
        </w:tc>
        <w:tc>
          <w:tcPr>
            <w:tcW w:w="102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State of the State of Delaware on September 29, 2017 (incorporated by reference to Exhibit 3.1 to the Registrant's Current Report on Form 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20" w:type="dxa"/>
            <w:vAlign w:val="bottom"/>
          </w:tcPr>
          <w:p>
            <w:pPr>
              <w:spacing w:after="0"/>
              <w:rPr>
                <w:sz w:val="13"/>
                <w:szCs w:val="13"/>
                <w:color w:val="auto"/>
              </w:rPr>
            </w:pPr>
          </w:p>
        </w:tc>
        <w:tc>
          <w:tcPr>
            <w:tcW w:w="101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K, filed October 4, 2017) (File No. 001-33520)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10560" w:type="dxa"/>
            <w:vAlign w:val="bottom"/>
            <w:gridSpan w:val="37"/>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Certificate of Amendment to Amended and Restated Certificate of Incorporation of comScore, Inc., dated March 10, 2021 (incorporated by</w:t>
              </w:r>
            </w:hyperlink>
          </w:p>
        </w:tc>
      </w:tr>
      <w:tr>
        <w:trPr>
          <w:trHeight w:val="155"/>
        </w:trPr>
        <w:tc>
          <w:tcPr>
            <w:tcW w:w="1020" w:type="dxa"/>
            <w:vAlign w:val="bottom"/>
          </w:tcPr>
          <w:p>
            <w:pPr>
              <w:spacing w:after="0"/>
              <w:rPr>
                <w:sz w:val="13"/>
                <w:szCs w:val="13"/>
                <w:color w:val="auto"/>
              </w:rPr>
            </w:pPr>
          </w:p>
        </w:tc>
        <w:tc>
          <w:tcPr>
            <w:tcW w:w="103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reference to Exhibit 3.1 to the Registrant's Current Report on Form 8-K, filed March 15, 2021) (File No. 001-33520)</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10560" w:type="dxa"/>
            <w:vAlign w:val="bottom"/>
            <w:gridSpan w:val="37"/>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 xml:space="preserve">Certificate of Designations of Series B Convertible Preferred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0.001, of comScore, Inc. (incorporated by reference to</w:t>
              </w:r>
            </w:hyperlink>
          </w:p>
        </w:tc>
      </w:tr>
      <w:tr>
        <w:trPr>
          <w:trHeight w:val="155"/>
        </w:trPr>
        <w:tc>
          <w:tcPr>
            <w:tcW w:w="1020" w:type="dxa"/>
            <w:vAlign w:val="bottom"/>
          </w:tcPr>
          <w:p>
            <w:pPr>
              <w:spacing w:after="0"/>
              <w:rPr>
                <w:sz w:val="13"/>
                <w:szCs w:val="13"/>
                <w:color w:val="auto"/>
              </w:rPr>
            </w:pPr>
          </w:p>
        </w:tc>
        <w:tc>
          <w:tcPr>
            <w:tcW w:w="102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Exhibit 3.2 to the Registrant's Current Report on Form 8-K, filed March 15, 2021) (File No. 001-33520)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w:t>
            </w:r>
          </w:p>
        </w:tc>
        <w:tc>
          <w:tcPr>
            <w:tcW w:w="10560" w:type="dxa"/>
            <w:vAlign w:val="bottom"/>
            <w:gridSpan w:val="37"/>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Certificate of Amendment of Amended and Restated Certificate of Incorporation of comScore, Inc. (incorporated by reference to Exhibit 3.1</w:t>
              </w:r>
            </w:hyperlink>
          </w:p>
        </w:tc>
      </w:tr>
      <w:tr>
        <w:trPr>
          <w:trHeight w:val="155"/>
        </w:trPr>
        <w:tc>
          <w:tcPr>
            <w:tcW w:w="1020" w:type="dxa"/>
            <w:vAlign w:val="bottom"/>
          </w:tcPr>
          <w:p>
            <w:pPr>
              <w:spacing w:after="0"/>
              <w:rPr>
                <w:sz w:val="13"/>
                <w:szCs w:val="13"/>
                <w:color w:val="auto"/>
              </w:rPr>
            </w:pPr>
          </w:p>
        </w:tc>
        <w:tc>
          <w:tcPr>
            <w:tcW w:w="65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to the Registrant's Current Report on Form 8-K, filed June 22, 2023) (File No. 001-33520)</w:t>
              </w:r>
            </w:hyperlink>
          </w:p>
        </w:tc>
        <w:tc>
          <w:tcPr>
            <w:tcW w:w="392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w:t>
            </w:r>
          </w:p>
        </w:tc>
        <w:tc>
          <w:tcPr>
            <w:tcW w:w="10560" w:type="dxa"/>
            <w:vAlign w:val="bottom"/>
            <w:gridSpan w:val="37"/>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 xml:space="preserve">Certificate of Amendment to the Certificate of Designations of Series B Convertible Preferred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0.001, of comScore, Inc.</w:t>
              </w:r>
            </w:hyperlink>
          </w:p>
        </w:tc>
      </w:tr>
      <w:tr>
        <w:trPr>
          <w:trHeight w:val="155"/>
        </w:trPr>
        <w:tc>
          <w:tcPr>
            <w:tcW w:w="1020" w:type="dxa"/>
            <w:vAlign w:val="bottom"/>
          </w:tcPr>
          <w:p>
            <w:pPr>
              <w:spacing w:after="0"/>
              <w:rPr>
                <w:sz w:val="13"/>
                <w:szCs w:val="13"/>
                <w:color w:val="auto"/>
              </w:rPr>
            </w:pPr>
          </w:p>
        </w:tc>
        <w:tc>
          <w:tcPr>
            <w:tcW w:w="103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(incorporated by reference to Exhibit 3.2 to the Registrant's Current Report on Form 8-K, filed June 22, 2023) (File No. 001-33520)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w:t>
            </w:r>
          </w:p>
        </w:tc>
        <w:tc>
          <w:tcPr>
            <w:tcW w:w="10560" w:type="dxa"/>
            <w:vAlign w:val="bottom"/>
            <w:gridSpan w:val="37"/>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Certificate of Amendment of Amended and Restated Certificate of Incorporation of comScore, Inc. (incorporated by reference to Exhibit 3.1</w:t>
              </w:r>
            </w:hyperlink>
          </w:p>
        </w:tc>
      </w:tr>
      <w:tr>
        <w:trPr>
          <w:trHeight w:val="156"/>
        </w:trPr>
        <w:tc>
          <w:tcPr>
            <w:tcW w:w="1020" w:type="dxa"/>
            <w:vAlign w:val="bottom"/>
          </w:tcPr>
          <w:p>
            <w:pPr>
              <w:spacing w:after="0"/>
              <w:rPr>
                <w:sz w:val="13"/>
                <w:szCs w:val="13"/>
                <w:color w:val="auto"/>
              </w:rPr>
            </w:pPr>
          </w:p>
        </w:tc>
        <w:tc>
          <w:tcPr>
            <w:tcW w:w="104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to the Registrant's Current Report on Form 8-K, filed December 27, 2023) (File No. 001-33520)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3.10</w:t>
            </w:r>
          </w:p>
        </w:tc>
        <w:tc>
          <w:tcPr>
            <w:tcW w:w="10560" w:type="dxa"/>
            <w:vAlign w:val="bottom"/>
            <w:gridSpan w:val="37"/>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 xml:space="preserve">Certificate of Amendment to the Certificate of Designations of Series B Convertible Preferred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0.001, of comScore, Inc.</w:t>
              </w:r>
            </w:hyperlink>
          </w:p>
        </w:tc>
      </w:tr>
      <w:tr>
        <w:trPr>
          <w:trHeight w:val="156"/>
        </w:trPr>
        <w:tc>
          <w:tcPr>
            <w:tcW w:w="1020" w:type="dxa"/>
            <w:vAlign w:val="bottom"/>
          </w:tcPr>
          <w:p>
            <w:pPr>
              <w:spacing w:after="0"/>
              <w:rPr>
                <w:sz w:val="13"/>
                <w:szCs w:val="13"/>
                <w:color w:val="auto"/>
              </w:rPr>
            </w:pPr>
          </w:p>
        </w:tc>
        <w:tc>
          <w:tcPr>
            <w:tcW w:w="103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(incorporated by reference to Exhibit 3.1 to the Registrant's Current Report on Form 8-K, filed June 18, 2024) (File No. 001-33520)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560" w:type="dxa"/>
            <w:vAlign w:val="bottom"/>
            <w:gridSpan w:val="37"/>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Amended and Restated Bylaws of comScore, Inc (incorporated by reference to Exhibit 3.2 to the Registrant's Quarterly Report on Form 10-Q</w:t>
              </w:r>
            </w:hyperlink>
          </w:p>
        </w:tc>
      </w:tr>
      <w:tr>
        <w:trPr>
          <w:trHeight w:val="156"/>
        </w:trPr>
        <w:tc>
          <w:tcPr>
            <w:tcW w:w="1020" w:type="dxa"/>
            <w:vAlign w:val="bottom"/>
          </w:tcPr>
          <w:p>
            <w:pPr>
              <w:spacing w:after="0"/>
              <w:rPr>
                <w:sz w:val="13"/>
                <w:szCs w:val="13"/>
                <w:color w:val="auto"/>
              </w:rPr>
            </w:pPr>
          </w:p>
        </w:tc>
        <w:tc>
          <w:tcPr>
            <w:tcW w:w="1046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 the period ended June 30, 2018, filed August 10, 2018) (File No. 001-33520)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560" w:type="dxa"/>
            <w:vAlign w:val="bottom"/>
            <w:gridSpan w:val="37"/>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Stockholders Agreement, dated as of March 10, 2021, by and among comScore, Inc., Charter Communications Holding Company, LLC,</w:t>
              </w:r>
            </w:hyperlink>
          </w:p>
        </w:tc>
      </w:tr>
      <w:tr>
        <w:trPr>
          <w:trHeight w:val="156"/>
        </w:trPr>
        <w:tc>
          <w:tcPr>
            <w:tcW w:w="1020" w:type="dxa"/>
            <w:vAlign w:val="bottom"/>
          </w:tcPr>
          <w:p>
            <w:pPr>
              <w:spacing w:after="0"/>
              <w:rPr>
                <w:sz w:val="13"/>
                <w:szCs w:val="13"/>
                <w:color w:val="auto"/>
              </w:rPr>
            </w:pPr>
          </w:p>
        </w:tc>
        <w:tc>
          <w:tcPr>
            <w:tcW w:w="104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Qurate Retail, Inc. and Pine Investor, LLC (incorporated by reference to Exhibit 10.4 to the Registrant's Current Report on Form 8-K, filed</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20" w:type="dxa"/>
            <w:vAlign w:val="bottom"/>
          </w:tcPr>
          <w:p>
            <w:pPr>
              <w:spacing w:after="0"/>
              <w:rPr>
                <w:sz w:val="13"/>
                <w:szCs w:val="13"/>
                <w:color w:val="auto"/>
              </w:rPr>
            </w:pPr>
          </w:p>
        </w:tc>
        <w:tc>
          <w:tcPr>
            <w:tcW w:w="102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March 15, 2021) (File No. 001-33520)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560" w:type="dxa"/>
            <w:vAlign w:val="bottom"/>
            <w:gridSpan w:val="37"/>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Registration Rights Agreement, dated as of March 10, 2021, by and among comScore, Inc., Charter Communications Holding Company,</w:t>
              </w:r>
            </w:hyperlink>
          </w:p>
        </w:tc>
      </w:tr>
      <w:tr>
        <w:trPr>
          <w:trHeight w:val="155"/>
        </w:trPr>
        <w:tc>
          <w:tcPr>
            <w:tcW w:w="1020" w:type="dxa"/>
            <w:vAlign w:val="bottom"/>
          </w:tcPr>
          <w:p>
            <w:pPr>
              <w:spacing w:after="0"/>
              <w:rPr>
                <w:sz w:val="13"/>
                <w:szCs w:val="13"/>
                <w:color w:val="auto"/>
              </w:rPr>
            </w:pPr>
          </w:p>
        </w:tc>
        <w:tc>
          <w:tcPr>
            <w:tcW w:w="103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LLC, Qurate Retail, Inc. and Pine Investor, LLC (incorporated by reference to Exhibit 10.5 to the Registrant's Current Report on Form 8-K,</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20" w:type="dxa"/>
            <w:vAlign w:val="bottom"/>
          </w:tcPr>
          <w:p>
            <w:pPr>
              <w:spacing w:after="0"/>
              <w:rPr>
                <w:sz w:val="13"/>
                <w:szCs w:val="13"/>
                <w:color w:val="auto"/>
              </w:rPr>
            </w:pPr>
          </w:p>
        </w:tc>
        <w:tc>
          <w:tcPr>
            <w:tcW w:w="102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filed March 15, 2021) (File No. 001-33520)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560" w:type="dxa"/>
            <w:vAlign w:val="bottom"/>
            <w:gridSpan w:val="37"/>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Specimen Common Stock Certificate (incorporated by reference to Exhibit 4.1 to the Registrant's Registration Statement on Form S-1, as</w:t>
              </w:r>
            </w:hyperlink>
          </w:p>
        </w:tc>
      </w:tr>
      <w:tr>
        <w:trPr>
          <w:trHeight w:val="155"/>
        </w:trPr>
        <w:tc>
          <w:tcPr>
            <w:tcW w:w="102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amended, filed June 12, 2007) (File No. 333-141740)</w:t>
              </w:r>
            </w:hyperlink>
          </w:p>
        </w:tc>
        <w:tc>
          <w:tcPr>
            <w:tcW w:w="666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0560" w:type="dxa"/>
            <w:vAlign w:val="bottom"/>
            <w:gridSpan w:val="37"/>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Stockholders Rights Agreement, dated as of February 11, 2015, by and among comScore, Inc., WPP Group USA, Inc. and Cavendish Square</w:t>
              </w:r>
            </w:hyperlink>
          </w:p>
        </w:tc>
      </w:tr>
      <w:tr>
        <w:trPr>
          <w:trHeight w:val="155"/>
        </w:trPr>
        <w:tc>
          <w:tcPr>
            <w:tcW w:w="1020" w:type="dxa"/>
            <w:vAlign w:val="bottom"/>
          </w:tcPr>
          <w:p>
            <w:pPr>
              <w:spacing w:after="0"/>
              <w:rPr>
                <w:sz w:val="13"/>
                <w:szCs w:val="13"/>
                <w:color w:val="auto"/>
              </w:rPr>
            </w:pPr>
          </w:p>
        </w:tc>
        <w:tc>
          <w:tcPr>
            <w:tcW w:w="1020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Holding B.V. (incorporated by reference to Exhibit (d)(3) to Cavendish Square Holding B.V.'s and WPP plc's Tender Offer Statement on</w:t>
              </w:r>
            </w:hyperlink>
          </w:p>
        </w:tc>
        <w:tc>
          <w:tcPr>
            <w:tcW w:w="100" w:type="dxa"/>
            <w:vAlign w:val="bottom"/>
            <w:tcBorders>
              <w:bottom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20" w:type="dxa"/>
            <w:vAlign w:val="bottom"/>
          </w:tcPr>
          <w:p>
            <w:pPr>
              <w:spacing w:after="0"/>
              <w:rPr>
                <w:sz w:val="13"/>
                <w:szCs w:val="13"/>
                <w:color w:val="auto"/>
              </w:rPr>
            </w:pPr>
          </w:p>
        </w:tc>
        <w:tc>
          <w:tcPr>
            <w:tcW w:w="4380" w:type="dxa"/>
            <w:vAlign w:val="bottom"/>
            <w:tcBorders>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Schedule TO, filed February 20, 2015) (File No. 005-83687)</w:t>
              </w:r>
            </w:hyperlink>
          </w:p>
        </w:tc>
        <w:tc>
          <w:tcPr>
            <w:tcW w:w="592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560" w:type="dxa"/>
            <w:vAlign w:val="bottom"/>
            <w:gridSpan w:val="37"/>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Voting Agreement, dated as of February 11, 2015, by and among comScore, Inc., WPP Group USA, Inc. and Cavendish Square Holding B.V.</w:t>
              </w:r>
            </w:hyperlink>
          </w:p>
        </w:tc>
      </w:tr>
      <w:tr>
        <w:trPr>
          <w:trHeight w:val="155"/>
        </w:trPr>
        <w:tc>
          <w:tcPr>
            <w:tcW w:w="1020" w:type="dxa"/>
            <w:vAlign w:val="bottom"/>
          </w:tcPr>
          <w:p>
            <w:pPr>
              <w:spacing w:after="0"/>
              <w:rPr>
                <w:sz w:val="13"/>
                <w:szCs w:val="13"/>
                <w:color w:val="auto"/>
              </w:rPr>
            </w:pPr>
          </w:p>
        </w:tc>
        <w:tc>
          <w:tcPr>
            <w:tcW w:w="1032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(incorporated by reference to Exhibit (d)(4) to Cavendish Square Holding B.V.'s and WPP plc's Tender Offer Statement on Schedule TO,</w:t>
              </w:r>
            </w:hyperlink>
          </w:p>
        </w:tc>
        <w:tc>
          <w:tcPr>
            <w:tcW w:w="40" w:type="dxa"/>
            <w:vAlign w:val="bottom"/>
            <w:tcBorders>
              <w:bottom w:val="single" w:sz="8" w:color="0000FF"/>
            </w:tcBorders>
            <w:gridSpan w:val="2"/>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20" w:type="dxa"/>
            <w:vAlign w:val="bottom"/>
          </w:tcPr>
          <w:p>
            <w:pPr>
              <w:spacing w:after="0"/>
              <w:rPr>
                <w:sz w:val="13"/>
                <w:szCs w:val="13"/>
                <w:color w:val="auto"/>
              </w:rPr>
            </w:pPr>
          </w:p>
        </w:tc>
        <w:tc>
          <w:tcPr>
            <w:tcW w:w="10540" w:type="dxa"/>
            <w:vAlign w:val="bottom"/>
            <w:gridSpan w:val="36"/>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filed February 20, 2015) (File No. 005-83687)</w:t>
              </w:r>
            </w:hyperlink>
          </w:p>
        </w:tc>
        <w:tc>
          <w:tcPr>
            <w:tcW w:w="20" w:type="dxa"/>
            <w:vAlign w:val="bottom"/>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8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Description of Securities</w:t>
            </w:r>
          </w:p>
        </w:tc>
        <w:tc>
          <w:tcPr>
            <w:tcW w:w="1600" w:type="dxa"/>
            <w:vAlign w:val="bottom"/>
            <w:tcBorders>
              <w:top w:val="single" w:sz="8" w:color="0000FF"/>
            </w:tcBorders>
            <w:gridSpan w:val="4"/>
          </w:tcPr>
          <w:p>
            <w:pPr>
              <w:spacing w:after="0"/>
              <w:rPr>
                <w:sz w:val="24"/>
                <w:szCs w:val="24"/>
                <w:color w:val="auto"/>
              </w:rPr>
            </w:pPr>
          </w:p>
        </w:tc>
        <w:tc>
          <w:tcPr>
            <w:tcW w:w="7160" w:type="dxa"/>
            <w:vAlign w:val="bottom"/>
            <w:gridSpan w:val="32"/>
          </w:tcPr>
          <w:p>
            <w:pPr>
              <w:spacing w:after="0"/>
              <w:rPr>
                <w:sz w:val="24"/>
                <w:szCs w:val="24"/>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10560" w:type="dxa"/>
            <w:vAlign w:val="bottom"/>
            <w:gridSpan w:val="37"/>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Series B Preferred Stockholder Waiver, dated June 27, 2024, from Charter Communications Holding Company, LLC (incorporated by</w:t>
              </w:r>
            </w:hyperlink>
          </w:p>
        </w:tc>
      </w:tr>
      <w:tr>
        <w:trPr>
          <w:trHeight w:val="155"/>
        </w:trPr>
        <w:tc>
          <w:tcPr>
            <w:tcW w:w="1020" w:type="dxa"/>
            <w:vAlign w:val="bottom"/>
          </w:tcPr>
          <w:p>
            <w:pPr>
              <w:spacing w:after="0"/>
              <w:rPr>
                <w:sz w:val="13"/>
                <w:szCs w:val="13"/>
                <w:color w:val="auto"/>
              </w:rPr>
            </w:pPr>
          </w:p>
        </w:tc>
        <w:tc>
          <w:tcPr>
            <w:tcW w:w="103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reference to Exhibit 4.1 to the Registrant's Current Report on Form 8-K, filed June 28, 2024) (File No. 001-33520)</w:t>
              </w:r>
            </w:hyperlink>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060" w:type="dxa"/>
            <w:vAlign w:val="bottom"/>
            <w:gridSpan w:val="10"/>
            <w:shd w:val="clear" w:color="auto" w:fill="0000FF"/>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2220" w:type="dxa"/>
            <w:vAlign w:val="bottom"/>
            <w:gridSpan w:val="1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0560" w:type="dxa"/>
            <w:vAlign w:val="bottom"/>
            <w:gridSpan w:val="37"/>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Series B Preferred Stockholder Waiver, dated June 27, 2024, from Liberty Broadband Corporation (incorporated by reference to Exhibit 4.2</w:t>
              </w:r>
            </w:hyperlink>
          </w:p>
        </w:tc>
      </w:tr>
      <w:tr>
        <w:trPr>
          <w:trHeight w:val="155"/>
        </w:trPr>
        <w:tc>
          <w:tcPr>
            <w:tcW w:w="1020" w:type="dxa"/>
            <w:vAlign w:val="bottom"/>
          </w:tcPr>
          <w:p>
            <w:pPr>
              <w:spacing w:after="0"/>
              <w:rPr>
                <w:sz w:val="13"/>
                <w:szCs w:val="13"/>
                <w:color w:val="auto"/>
              </w:rPr>
            </w:pPr>
          </w:p>
        </w:tc>
        <w:tc>
          <w:tcPr>
            <w:tcW w:w="65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to the Registrant's Current Report on Form 8-K, filed June 28, 2024) (File No. 001-33520)</w:t>
              </w:r>
            </w:hyperlink>
          </w:p>
        </w:tc>
        <w:tc>
          <w:tcPr>
            <w:tcW w:w="3960" w:type="dxa"/>
            <w:vAlign w:val="bottom"/>
            <w:tcBorders>
              <w:top w:val="single" w:sz="8" w:color="0000FF"/>
            </w:tcBorders>
            <w:gridSpan w:val="2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0560" w:type="dxa"/>
            <w:vAlign w:val="bottom"/>
            <w:gridSpan w:val="37"/>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Series B Preferred Stockholder Waiver, dated June 27, 2024, from Pine Investor, LLC (incorporated by reference to Exhibit 4.3 to the</w:t>
              </w:r>
            </w:hyperlink>
          </w:p>
        </w:tc>
      </w:tr>
      <w:tr>
        <w:trPr>
          <w:trHeight w:val="155"/>
        </w:trPr>
        <w:tc>
          <w:tcPr>
            <w:tcW w:w="1020" w:type="dxa"/>
            <w:vAlign w:val="bottom"/>
          </w:tcPr>
          <w:p>
            <w:pPr>
              <w:spacing w:after="0"/>
              <w:rPr>
                <w:sz w:val="13"/>
                <w:szCs w:val="13"/>
                <w:color w:val="auto"/>
              </w:rPr>
            </w:pPr>
          </w:p>
        </w:tc>
        <w:tc>
          <w:tcPr>
            <w:tcW w:w="103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Registrant's Current Report on Form 8-K, filed June 28, 2024) (File No. 001-33520)</w:t>
              </w:r>
            </w:hyperlink>
          </w:p>
        </w:tc>
        <w:tc>
          <w:tcPr>
            <w:tcW w:w="220" w:type="dxa"/>
            <w:vAlign w:val="bottom"/>
            <w:gridSpan w:val="11"/>
          </w:tcPr>
          <w:p>
            <w:pPr>
              <w:spacing w:after="0"/>
              <w:rPr>
                <w:sz w:val="13"/>
                <w:szCs w:val="13"/>
                <w:color w:val="auto"/>
              </w:rPr>
            </w:pPr>
          </w:p>
        </w:tc>
      </w:tr>
      <w:tr>
        <w:trPr>
          <w:trHeight w:val="817"/>
        </w:trPr>
        <w:tc>
          <w:tcPr>
            <w:tcW w:w="1020" w:type="dxa"/>
            <w:vAlign w:val="bottom"/>
          </w:tcPr>
          <w:p>
            <w:pPr>
              <w:spacing w:after="0"/>
              <w:rPr>
                <w:sz w:val="24"/>
                <w:szCs w:val="24"/>
                <w:color w:val="auto"/>
              </w:rPr>
            </w:pPr>
          </w:p>
        </w:tc>
        <w:tc>
          <w:tcPr>
            <w:tcW w:w="5800" w:type="dxa"/>
            <w:vAlign w:val="bottom"/>
            <w:tcBorders>
              <w:top w:val="single" w:sz="8" w:color="0000FF"/>
            </w:tcBorders>
            <w:gridSpan w:val="8"/>
          </w:tcPr>
          <w:p>
            <w:pPr>
              <w:ind w:left="4520"/>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0580" w:type="dxa"/>
            <w:vAlign w:val="bottom"/>
            <w:gridSpan w:val="37"/>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Series B Preferred Stockholder Waiver, dated July 23, 2024, from Charter Communications Holding Company, LLC (incorporated by</w:t>
              </w:r>
            </w:hyperlink>
          </w:p>
        </w:tc>
      </w:tr>
      <w:tr>
        <w:trPr>
          <w:trHeight w:val="155"/>
        </w:trPr>
        <w:tc>
          <w:tcPr>
            <w:tcW w:w="100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reference to Exhibit 4.1 to the Registrant's Current Report on Form 8-K, filed July 25, 2024) (File No. 001-33520)</w:t>
              </w:r>
            </w:hyperlink>
          </w:p>
        </w:tc>
        <w:tc>
          <w:tcPr>
            <w:tcW w:w="20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0580" w:type="dxa"/>
            <w:vAlign w:val="bottom"/>
            <w:gridSpan w:val="37"/>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Series B Preferred Stockholder Waiver, dated July 23, 2024, from Liberty Broadband Corporation (incorporated by reference to Exhibit 4.2</w:t>
              </w:r>
            </w:hyperlink>
          </w:p>
        </w:tc>
      </w:tr>
      <w:tr>
        <w:trPr>
          <w:trHeight w:val="155"/>
        </w:trPr>
        <w:tc>
          <w:tcPr>
            <w:tcW w:w="1000" w:type="dxa"/>
            <w:vAlign w:val="bottom"/>
          </w:tcPr>
          <w:p>
            <w:pPr>
              <w:spacing w:after="0"/>
              <w:rPr>
                <w:sz w:val="13"/>
                <w:szCs w:val="13"/>
                <w:color w:val="auto"/>
              </w:rPr>
            </w:pPr>
          </w:p>
        </w:tc>
        <w:tc>
          <w:tcPr>
            <w:tcW w:w="104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to the Registrant's Current Report on Form 8-K, filed July 25, 2024) (File No. 001-33520)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10580" w:type="dxa"/>
            <w:vAlign w:val="bottom"/>
            <w:gridSpan w:val="37"/>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Series B Preferred Stockholder Waiver, dated July 23, 2024, from Pine Investor, LLC (incorporated by reference to Exhibit 4.3 to the</w:t>
              </w:r>
            </w:hyperlink>
          </w:p>
        </w:tc>
      </w:tr>
      <w:tr>
        <w:trPr>
          <w:trHeight w:val="155"/>
        </w:trPr>
        <w:tc>
          <w:tcPr>
            <w:tcW w:w="1000" w:type="dxa"/>
            <w:vAlign w:val="bottom"/>
          </w:tcPr>
          <w:p>
            <w:pPr>
              <w:spacing w:after="0"/>
              <w:rPr>
                <w:sz w:val="13"/>
                <w:szCs w:val="13"/>
                <w:color w:val="auto"/>
              </w:rPr>
            </w:pPr>
          </w:p>
        </w:tc>
        <w:tc>
          <w:tcPr>
            <w:tcW w:w="60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Registrant's Current Report on Form 8-K, filed July 25, 2024) (File No. 001-33520)</w:t>
              </w:r>
            </w:hyperlink>
          </w:p>
        </w:tc>
        <w:tc>
          <w:tcPr>
            <w:tcW w:w="422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580" w:type="dxa"/>
            <w:vAlign w:val="bottom"/>
            <w:gridSpan w:val="37"/>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Series B Convertible Preferred Stock Purchase Agreement, dated as of January 7, 2021, by and between comScore, Inc. and Charter</w:t>
              </w:r>
            </w:hyperlink>
          </w:p>
        </w:tc>
      </w:tr>
      <w:tr>
        <w:trPr>
          <w:trHeight w:val="155"/>
        </w:trPr>
        <w:tc>
          <w:tcPr>
            <w:tcW w:w="1000" w:type="dxa"/>
            <w:vAlign w:val="bottom"/>
          </w:tcPr>
          <w:p>
            <w:pPr>
              <w:spacing w:after="0"/>
              <w:rPr>
                <w:sz w:val="13"/>
                <w:szCs w:val="13"/>
                <w:color w:val="auto"/>
              </w:rPr>
            </w:pPr>
          </w:p>
        </w:tc>
        <w:tc>
          <w:tcPr>
            <w:tcW w:w="104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Communications Holding Company, LLC (incorporated by reference to Exhibit 10.1 to the Registrant's Current Report on Form 8-K, filed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022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January 8, 2021) (File No. 001-33520)</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580" w:type="dxa"/>
            <w:vAlign w:val="bottom"/>
            <w:gridSpan w:val="37"/>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Series B Convertible Preferred Stock Purchase Agreement, dated as of January 7, 2021, by and between comScore, Inc. and Qurate Retail,</w:t>
              </w:r>
            </w:hyperlink>
          </w:p>
        </w:tc>
      </w:tr>
      <w:tr>
        <w:trPr>
          <w:trHeight w:val="156"/>
        </w:trPr>
        <w:tc>
          <w:tcPr>
            <w:tcW w:w="100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Inc. (incorporated by reference to Exhibit 10.2 to the Registrant's Current Report on Form 8-K, filed January 8, 2021) (File No. 001-33520)</w:t>
              </w:r>
            </w:hyperlink>
          </w:p>
        </w:tc>
        <w:tc>
          <w:tcPr>
            <w:tcW w:w="2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580" w:type="dxa"/>
            <w:vAlign w:val="bottom"/>
            <w:gridSpan w:val="37"/>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Series B Convertible Preferred Stock Purchase Agreement, dated as of January 7, 2021, by and between comScore, Inc. and Pine Investor,</w:t>
              </w:r>
            </w:hyperlink>
          </w:p>
        </w:tc>
      </w:tr>
      <w:tr>
        <w:trPr>
          <w:trHeight w:val="156"/>
        </w:trPr>
        <w:tc>
          <w:tcPr>
            <w:tcW w:w="100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LLC (incorporated by reference to Exhibit 10.3 to the Registrant's Current Report on Form 8-K, filed January 8, 2021) (File No. 001-33520)</w:t>
              </w:r>
            </w:hyperlink>
          </w:p>
        </w:tc>
        <w:tc>
          <w:tcPr>
            <w:tcW w:w="80" w:type="dxa"/>
            <w:vAlign w:val="bottom"/>
            <w:tcBorders>
              <w:top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580" w:type="dxa"/>
            <w:vAlign w:val="bottom"/>
            <w:gridSpan w:val="37"/>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Data License Agreement, dated as of March 10, 2021, by and between comScore, Inc. and Charter Communications Operating, LLC</w:t>
              </w:r>
            </w:hyperlink>
          </w:p>
        </w:tc>
      </w:tr>
      <w:tr>
        <w:trPr>
          <w:trHeight w:val="156"/>
        </w:trPr>
        <w:tc>
          <w:tcPr>
            <w:tcW w:w="100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(incorporated by reference to Exhibit 10.6 to the Registrant's Current Report on Form 8-K, filed March 15, 2021) (File No. 001-33520)</w:t>
              </w:r>
            </w:hyperlink>
          </w:p>
        </w:tc>
        <w:tc>
          <w:tcPr>
            <w:tcW w:w="5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580" w:type="dxa"/>
            <w:vAlign w:val="bottom"/>
            <w:gridSpan w:val="37"/>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First Amendment to Data License Agreement, dated as of March 30, 2022, by and between comScore, Inc. and Charter Communications</w:t>
              </w:r>
            </w:hyperlink>
          </w:p>
        </w:tc>
      </w:tr>
      <w:tr>
        <w:trPr>
          <w:trHeight w:val="156"/>
        </w:trPr>
        <w:tc>
          <w:tcPr>
            <w:tcW w:w="1000" w:type="dxa"/>
            <w:vAlign w:val="bottom"/>
          </w:tcPr>
          <w:p>
            <w:pPr>
              <w:spacing w:after="0"/>
              <w:rPr>
                <w:sz w:val="13"/>
                <w:szCs w:val="13"/>
                <w:color w:val="auto"/>
              </w:rPr>
            </w:pPr>
          </w:p>
        </w:tc>
        <w:tc>
          <w:tcPr>
            <w:tcW w:w="103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Operating, LLC (incorporated by reference to Exhibit 10.1 to the Registrant's Quarterly Report on Form 10-Q for the period ended March 31,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348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2022, filed May 10, 2022) (File No. 001-33520)</w:t>
              </w:r>
            </w:hyperlink>
          </w:p>
        </w:tc>
        <w:tc>
          <w:tcPr>
            <w:tcW w:w="6720" w:type="dxa"/>
            <w:vAlign w:val="bottom"/>
            <w:tcBorders>
              <w:top w:val="single" w:sz="8" w:color="0000FF"/>
            </w:tcBorders>
            <w:gridSpan w:val="1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580" w:type="dxa"/>
            <w:vAlign w:val="bottom"/>
            <w:gridSpan w:val="37"/>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Second Amendment to Data License Agreement, dated as of November 6, 2022, by and between comScore, Inc. and Charter</w:t>
              </w:r>
            </w:hyperlink>
          </w:p>
        </w:tc>
      </w:tr>
      <w:tr>
        <w:trPr>
          <w:trHeight w:val="156"/>
        </w:trPr>
        <w:tc>
          <w:tcPr>
            <w:tcW w:w="1000" w:type="dxa"/>
            <w:vAlign w:val="bottom"/>
          </w:tcPr>
          <w:p>
            <w:pPr>
              <w:spacing w:after="0"/>
              <w:rPr>
                <w:sz w:val="13"/>
                <w:szCs w:val="13"/>
                <w:color w:val="auto"/>
              </w:rPr>
            </w:pPr>
          </w:p>
        </w:tc>
        <w:tc>
          <w:tcPr>
            <w:tcW w:w="104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Communications Operating, LLC (incorporated by reference to Exhibit 10.1 to the Registrant's Current Report on Form 8-K, filed November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018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7, 2022) (File No. 001-33520)</w:t>
              </w:r>
            </w:hyperlink>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580" w:type="dxa"/>
            <w:vAlign w:val="bottom"/>
            <w:gridSpan w:val="37"/>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Credit Agreement, dated as of May 5, 2021, among comScore, Inc. (as Borrower), certain subsidiaries of the Borrower (as Guarantors), Bank</w:t>
              </w:r>
            </w:hyperlink>
          </w:p>
        </w:tc>
      </w:tr>
      <w:tr>
        <w:trPr>
          <w:trHeight w:val="156"/>
        </w:trPr>
        <w:tc>
          <w:tcPr>
            <w:tcW w:w="1000" w:type="dxa"/>
            <w:vAlign w:val="bottom"/>
          </w:tcPr>
          <w:p>
            <w:pPr>
              <w:spacing w:after="0"/>
              <w:rPr>
                <w:sz w:val="13"/>
                <w:szCs w:val="13"/>
                <w:color w:val="auto"/>
              </w:rPr>
            </w:pPr>
          </w:p>
        </w:tc>
        <w:tc>
          <w:tcPr>
            <w:tcW w:w="1038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of America, N.A. (as Administrative Agent, Swing Line Lender, and L/C Issuer), and the lenders party thereto (incorporated by reference to</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0560" w:type="dxa"/>
            <w:vAlign w:val="bottom"/>
            <w:gridSpan w:val="36"/>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Exhibit 10.1 to the Registrant's Quarterly Report on Form 10-Q for the period ended June 30, 2021, filed August 9, 2021) (File No. 001-</w:t>
              </w:r>
            </w:hyperlink>
          </w:p>
        </w:tc>
        <w:tc>
          <w:tcPr>
            <w:tcW w:w="20" w:type="dxa"/>
            <w:vAlign w:val="bottom"/>
          </w:tcPr>
          <w:p>
            <w:pPr>
              <w:spacing w:after="0"/>
              <w:rPr>
                <w:sz w:val="14"/>
                <w:szCs w:val="14"/>
                <w:color w:val="auto"/>
              </w:rPr>
            </w:pPr>
          </w:p>
        </w:tc>
      </w:tr>
      <w:tr>
        <w:trPr>
          <w:trHeight w:val="156"/>
        </w:trPr>
        <w:tc>
          <w:tcPr>
            <w:tcW w:w="100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38">
              <w:r>
                <w:rPr>
                  <w:rFonts w:ascii="Times New Roman" w:cs="Times New Roman" w:eastAsia="Times New Roman" w:hAnsi="Times New Roman"/>
                  <w:sz w:val="18"/>
                  <w:szCs w:val="18"/>
                  <w:color w:val="0000FF"/>
                  <w:w w:val="97"/>
                </w:rPr>
                <w:t>33520)</w:t>
              </w:r>
            </w:hyperlink>
          </w:p>
        </w:tc>
        <w:tc>
          <w:tcPr>
            <w:tcW w:w="14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5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580" w:type="dxa"/>
            <w:vAlign w:val="bottom"/>
            <w:gridSpan w:val="37"/>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First Amendment, dated as of February 25, 2022, to the Credit Agreement among comScore, Inc. (as Borrower), certain subsidiaries of the</w:t>
              </w:r>
            </w:hyperlink>
          </w:p>
        </w:tc>
      </w:tr>
      <w:tr>
        <w:trPr>
          <w:trHeight w:val="155"/>
        </w:trPr>
        <w:tc>
          <w:tcPr>
            <w:tcW w:w="1000" w:type="dxa"/>
            <w:vAlign w:val="bottom"/>
          </w:tcPr>
          <w:p>
            <w:pPr>
              <w:spacing w:after="0"/>
              <w:rPr>
                <w:sz w:val="13"/>
                <w:szCs w:val="13"/>
                <w:color w:val="auto"/>
              </w:rPr>
            </w:pPr>
          </w:p>
        </w:tc>
        <w:tc>
          <w:tcPr>
            <w:tcW w:w="1024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Borrower (as Guarantors), Bank of America, N.A. (as Administrative Agent), and the lenders party thereto (incorporated by reference to</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7780" w:type="dxa"/>
            <w:vAlign w:val="bottom"/>
            <w:tcBorders>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Exhibit 10.1 to the Registrant's Current Report on Form 8-K, filed February 28, 2022) (File No. 001-33520)</w:t>
              </w:r>
            </w:hyperlink>
          </w:p>
        </w:tc>
        <w:tc>
          <w:tcPr>
            <w:tcW w:w="2720" w:type="dxa"/>
            <w:vAlign w:val="bottom"/>
            <w:gridSpan w:val="2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580" w:type="dxa"/>
            <w:vAlign w:val="bottom"/>
            <w:gridSpan w:val="37"/>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Second Amendment, dated as of February 24, 2023, to the Credit Agreement among comScore, Inc. (as Borrower), certain subsidiaries of the</w:t>
              </w:r>
            </w:hyperlink>
          </w:p>
        </w:tc>
      </w:tr>
      <w:tr>
        <w:trPr>
          <w:trHeight w:val="156"/>
        </w:trPr>
        <w:tc>
          <w:tcPr>
            <w:tcW w:w="1000" w:type="dxa"/>
            <w:vAlign w:val="bottom"/>
          </w:tcPr>
          <w:p>
            <w:pPr>
              <w:spacing w:after="0"/>
              <w:rPr>
                <w:sz w:val="13"/>
                <w:szCs w:val="13"/>
                <w:color w:val="auto"/>
              </w:rPr>
            </w:pPr>
          </w:p>
        </w:tc>
        <w:tc>
          <w:tcPr>
            <w:tcW w:w="1054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Borrower (as Guarantors), Bank of America, N.A. (as Administrative Agent), and the lenders party thereto (incorporated by reference to</w:t>
              </w:r>
            </w:hyperlink>
          </w:p>
        </w:tc>
        <w:tc>
          <w:tcPr>
            <w:tcW w:w="40" w:type="dxa"/>
            <w:vAlign w:val="bottom"/>
            <w:gridSpan w:val="2"/>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778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Exhibit 10.1 to the Registrant's Current Report on Form 8-K, filed February 28, 2023) (File No. 001-33520)</w:t>
              </w:r>
            </w:hyperlink>
          </w:p>
        </w:tc>
        <w:tc>
          <w:tcPr>
            <w:tcW w:w="272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580" w:type="dxa"/>
            <w:vAlign w:val="bottom"/>
            <w:gridSpan w:val="37"/>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Patent Purchase, License and Settlement Agreement, dated as of December 20, 2011, by and among comScore, Inc., The Nielsen Company</w:t>
              </w:r>
            </w:hyperlink>
          </w:p>
        </w:tc>
      </w:tr>
      <w:tr>
        <w:trPr>
          <w:trHeight w:val="155"/>
        </w:trPr>
        <w:tc>
          <w:tcPr>
            <w:tcW w:w="1000" w:type="dxa"/>
            <w:vAlign w:val="bottom"/>
          </w:tcPr>
          <w:p>
            <w:pPr>
              <w:spacing w:after="0"/>
              <w:rPr>
                <w:sz w:val="13"/>
                <w:szCs w:val="13"/>
                <w:color w:val="auto"/>
              </w:rPr>
            </w:pPr>
          </w:p>
        </w:tc>
        <w:tc>
          <w:tcPr>
            <w:tcW w:w="1030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(US) LLC and NetRatings LLC (incorporated by reference to Exhibit 10.1 to the Registrant's Current Report on Form 8-K, filed December</w:t>
              </w:r>
            </w:hyperlink>
          </w:p>
        </w:tc>
        <w:tc>
          <w:tcPr>
            <w:tcW w:w="40" w:type="dxa"/>
            <w:vAlign w:val="bottom"/>
            <w:tcBorders>
              <w:bottom w:val="single" w:sz="8" w:color="0000FF"/>
            </w:tcBorders>
            <w:gridSpan w:val="2"/>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0460" w:type="dxa"/>
            <w:vAlign w:val="bottom"/>
            <w:gridSpan w:val="31"/>
          </w:tcPr>
          <w:p>
            <w:pPr>
              <w:spacing w:after="0" w:line="16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21, 2011) (File No. 001-33520)</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1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580" w:type="dxa"/>
            <w:vAlign w:val="bottom"/>
            <w:gridSpan w:val="37"/>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Purchase Agreement, dated as of December 20, 2011, by and among comScore, Inc. and The Nielsen Company (US) LLC (incorporated by</w:t>
              </w:r>
            </w:hyperlink>
          </w:p>
        </w:tc>
      </w:tr>
      <w:tr>
        <w:trPr>
          <w:trHeight w:val="156"/>
        </w:trPr>
        <w:tc>
          <w:tcPr>
            <w:tcW w:w="100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reference to Exhibit 10.2 to the Registrant's Current Report on Form 8-K, filed December 21, 2011) (File No. 001-33520)</w:t>
              </w:r>
            </w:hyperlink>
          </w:p>
        </w:tc>
        <w:tc>
          <w:tcPr>
            <w:tcW w:w="1580" w:type="dxa"/>
            <w:vAlign w:val="bottom"/>
            <w:tcBorders>
              <w:top w:val="single" w:sz="8" w:color="0000FF"/>
            </w:tcBorders>
            <w:gridSpan w:val="1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580" w:type="dxa"/>
            <w:vAlign w:val="bottom"/>
            <w:gridSpan w:val="37"/>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Stock Purchase Agreement, dated as of February 11, 2015, by and among Cavendish Square Holding B.V., WPP Group USA, Inc., CS</w:t>
              </w:r>
            </w:hyperlink>
          </w:p>
        </w:tc>
      </w:tr>
      <w:tr>
        <w:trPr>
          <w:trHeight w:val="156"/>
        </w:trPr>
        <w:tc>
          <w:tcPr>
            <w:tcW w:w="1000" w:type="dxa"/>
            <w:vAlign w:val="bottom"/>
          </w:tcPr>
          <w:p>
            <w:pPr>
              <w:spacing w:after="0"/>
              <w:rPr>
                <w:sz w:val="13"/>
                <w:szCs w:val="13"/>
                <w:color w:val="auto"/>
              </w:rPr>
            </w:pPr>
          </w:p>
        </w:tc>
        <w:tc>
          <w:tcPr>
            <w:tcW w:w="1042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Worldnet Holding B.V. and comScore, Inc. (incorporated by reference to Exhibit (d)(1) to Cavendish Square Holding B.V.'s and WPP plc's</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634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Tender Offer Statement on Schedule TO, filed February 20, 2015) (File No. 005-83687)</w:t>
              </w:r>
            </w:hyperlink>
          </w:p>
        </w:tc>
        <w:tc>
          <w:tcPr>
            <w:tcW w:w="4140" w:type="dxa"/>
            <w:vAlign w:val="bottom"/>
            <w:gridSpan w:val="24"/>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580" w:type="dxa"/>
            <w:vAlign w:val="bottom"/>
            <w:gridSpan w:val="37"/>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Strategic Alliance Agreement, dated February 11, 2015, by and between comScore, Inc. and WPP Group USA, Inc. (incorporated by</w:t>
              </w:r>
            </w:hyperlink>
          </w:p>
        </w:tc>
      </w:tr>
      <w:tr>
        <w:trPr>
          <w:trHeight w:val="155"/>
        </w:trPr>
        <w:tc>
          <w:tcPr>
            <w:tcW w:w="1000" w:type="dxa"/>
            <w:vAlign w:val="bottom"/>
          </w:tcPr>
          <w:p>
            <w:pPr>
              <w:spacing w:after="0"/>
              <w:rPr>
                <w:sz w:val="13"/>
                <w:szCs w:val="13"/>
                <w:color w:val="auto"/>
              </w:rPr>
            </w:pPr>
          </w:p>
        </w:tc>
        <w:tc>
          <w:tcPr>
            <w:tcW w:w="1052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reference to Exhibit (d)(5) to Cavendish Square Holding B.V.'s and WPP plc's Tender Offer Statement on Schedule TO, filed February 20,</w:t>
              </w:r>
            </w:hyperlink>
          </w:p>
        </w:tc>
        <w:tc>
          <w:tcPr>
            <w:tcW w:w="60" w:type="dxa"/>
            <w:vAlign w:val="bottom"/>
            <w:gridSpan w:val="3"/>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032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2015) (File No. 005-83687)</w:t>
              </w:r>
            </w:hyperlink>
          </w:p>
        </w:tc>
        <w:tc>
          <w:tcPr>
            <w:tcW w:w="100" w:type="dxa"/>
            <w:vAlign w:val="bottom"/>
            <w:gridSpan w:val="5"/>
          </w:tcPr>
          <w:p>
            <w:pPr>
              <w:spacing w:after="0"/>
              <w:rPr>
                <w:sz w:val="14"/>
                <w:szCs w:val="14"/>
                <w:color w:val="auto"/>
              </w:rPr>
            </w:pPr>
          </w:p>
        </w:tc>
        <w:tc>
          <w:tcPr>
            <w:tcW w:w="160" w:type="dxa"/>
            <w:vAlign w:val="bottom"/>
            <w:gridSpan w:val="8"/>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6320" w:type="dxa"/>
            <w:vAlign w:val="bottom"/>
            <w:gridSpan w:val="10"/>
          </w:tcPr>
          <w:p>
            <w:pPr>
              <w:spacing w:after="0" w:line="20" w:lineRule="exact"/>
              <w:rPr>
                <w:sz w:val="1"/>
                <w:szCs w:val="1"/>
                <w:color w:val="auto"/>
              </w:rPr>
            </w:pPr>
          </w:p>
        </w:tc>
        <w:tc>
          <w:tcPr>
            <w:tcW w:w="2100" w:type="dxa"/>
            <w:vAlign w:val="bottom"/>
            <w:gridSpan w:val="17"/>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580" w:type="dxa"/>
            <w:vAlign w:val="bottom"/>
            <w:gridSpan w:val="37"/>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Purchase Agreement, dated as of April 1, 2015, by and between comScore, Inc. and Cavendish Square Holding B.V. (incorporated by</w:t>
              </w:r>
            </w:hyperlink>
          </w:p>
        </w:tc>
      </w:tr>
      <w:tr>
        <w:trPr>
          <w:trHeight w:val="156"/>
        </w:trPr>
        <w:tc>
          <w:tcPr>
            <w:tcW w:w="1000" w:type="dxa"/>
            <w:vAlign w:val="bottom"/>
          </w:tcPr>
          <w:p>
            <w:pPr>
              <w:spacing w:after="0"/>
              <w:rPr>
                <w:sz w:val="13"/>
                <w:szCs w:val="13"/>
                <w:color w:val="auto"/>
              </w:rPr>
            </w:pPr>
          </w:p>
        </w:tc>
        <w:tc>
          <w:tcPr>
            <w:tcW w:w="83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reference to Exhibit 10.5 to the Registrant's Current Report on Form 8-K, filed April 3, 2015) (File No. 001-33520)</w:t>
              </w:r>
            </w:hyperlink>
          </w:p>
        </w:tc>
        <w:tc>
          <w:tcPr>
            <w:tcW w:w="2040" w:type="dxa"/>
            <w:vAlign w:val="bottom"/>
            <w:tcBorders>
              <w:top w:val="single" w:sz="8" w:color="0000FF"/>
            </w:tcBorders>
            <w:gridSpan w:val="14"/>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580" w:type="dxa"/>
            <w:vAlign w:val="bottom"/>
            <w:gridSpan w:val="37"/>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Agreement and Plan of Merger, dated December 16, 2021, by and among comScore, Inc., SS Media Holdco, LLC, SS Media Merger Sub,</w:t>
              </w:r>
            </w:hyperlink>
          </w:p>
        </w:tc>
      </w:tr>
      <w:tr>
        <w:trPr>
          <w:trHeight w:val="156"/>
        </w:trPr>
        <w:tc>
          <w:tcPr>
            <w:tcW w:w="1000" w:type="dxa"/>
            <w:vAlign w:val="bottom"/>
          </w:tcPr>
          <w:p>
            <w:pPr>
              <w:spacing w:after="0"/>
              <w:rPr>
                <w:sz w:val="13"/>
                <w:szCs w:val="13"/>
                <w:color w:val="auto"/>
              </w:rPr>
            </w:pPr>
          </w:p>
        </w:tc>
        <w:tc>
          <w:tcPr>
            <w:tcW w:w="1044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Inc., Shareablee, Inc., Shareablee Holdco, Inc., Shareablee Merger Sub, Inc. and Shareholder Representative Services LLC, as Stockholder</w:t>
              </w:r>
            </w:hyperlink>
          </w:p>
        </w:tc>
        <w:tc>
          <w:tcPr>
            <w:tcW w:w="10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r>
    </w:tbl>
    <w:p>
      <w:pPr>
        <w:ind w:left="1020"/>
        <w:spacing w:after="0" w:line="226"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Representative (incorporated by reference to Exhibit 10.1 to the Registrant's Current Report on Form 8-K, filed December 17, 2021) (File</w:t>
        </w:r>
      </w:hyperlink>
      <w:r>
        <w:rPr>
          <w:rFonts w:ascii="Times New Roman" w:cs="Times New Roman" w:eastAsia="Times New Roman" w:hAnsi="Times New Roman"/>
          <w:sz w:val="18"/>
          <w:szCs w:val="18"/>
          <w:u w:val="single" w:color="auto"/>
          <w:color w:val="0000FF"/>
        </w:rPr>
        <w:t xml:space="preserve"> No. 001-33520)</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82"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48">
        <w:r>
          <w:rPr>
            <w:rFonts w:ascii="Times New Roman" w:cs="Times New Roman" w:eastAsia="Times New Roman" w:hAnsi="Times New Roman"/>
            <w:sz w:val="18"/>
            <w:szCs w:val="18"/>
            <w:u w:val="single" w:color="auto"/>
            <w:color w:val="0000FF"/>
          </w:rPr>
          <w:t>Deed of Lease between South of Market LLC (as Landlord) and comScore, Inc. (as Tenant), dated December 21, 2007 (incorporated by</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reference to Exhibit 10.1 to the Registrant's Current Report on Form 8-K, filed February 5, 2008) (File No. 001-33520)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49">
        <w:r>
          <w:rPr>
            <w:rFonts w:ascii="Times New Roman" w:cs="Times New Roman" w:eastAsia="Times New Roman" w:hAnsi="Times New Roman"/>
            <w:sz w:val="18"/>
            <w:szCs w:val="18"/>
            <w:u w:val="single" w:color="auto"/>
            <w:color w:val="0000FF"/>
          </w:rPr>
          <w:t>Amendment No. 6 to Deed of Lease, dated as of May 30, 2018, by and between South of Market LLC and comScore, Inc. (incorporated by</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reference to Exhibit 10.1 to the Registrant's Current Report on Form 8-K, filed June 5, 2018) (File No. 001-33520)</w:t>
        </w:r>
      </w:hyperlink>
    </w:p>
    <w:p>
      <w:pPr>
        <w:spacing w:after="0" w:line="64" w:lineRule="exact"/>
        <w:rPr>
          <w:sz w:val="20"/>
          <w:szCs w:val="20"/>
          <w:color w:val="auto"/>
        </w:rPr>
      </w:pPr>
    </w:p>
    <w:p>
      <w:pPr>
        <w:jc w:val="right"/>
        <w:ind w:left="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10.18       </w:t>
      </w:r>
      <w:hyperlink r:id="rId150">
        <w:r>
          <w:rPr>
            <w:rFonts w:ascii="Times New Roman" w:cs="Times New Roman" w:eastAsia="Times New Roman" w:hAnsi="Times New Roman"/>
            <w:sz w:val="18"/>
            <w:szCs w:val="18"/>
            <w:u w:val="single" w:color="auto"/>
            <w:color w:val="0000FF"/>
          </w:rPr>
          <w:t>Amendment No. 7 to Deed of Lease, dated as of May 24, 2021, by and between South of Market LLC and comScore, Inc. (incorporated by</w:t>
        </w:r>
      </w:hyperlink>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u w:val="single" w:color="auto"/>
            <w:color w:val="0000FF"/>
          </w:rPr>
          <w:t>reference to Exhibit 10.2 to the Registrant's Quarterly Report on Form 10-Q for the period ended June 30, 2021, filed August 9, 2021) (File</w:t>
        </w:r>
      </w:hyperlink>
    </w:p>
    <w:p>
      <w:pPr>
        <w:spacing w:after="0" w:line="2"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No. 001-33520)</w:t>
        </w:r>
      </w:hyperlink>
    </w:p>
    <w:p>
      <w:pPr>
        <w:spacing w:after="0" w:line="57"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51">
        <w:r>
          <w:rPr>
            <w:rFonts w:ascii="Times New Roman" w:cs="Times New Roman" w:eastAsia="Times New Roman" w:hAnsi="Times New Roman"/>
            <w:sz w:val="18"/>
            <w:szCs w:val="18"/>
            <w:u w:val="single" w:color="auto"/>
            <w:color w:val="0000FF"/>
          </w:rPr>
          <w:t>comScore, Inc. 2018 Equity and Incentive Compensation Plan (as Amended and Restated Effective as of July 9, 2020) (incorporated by</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reference to Exhibit 10.1 to the Registrant's Current Report on Form 8-K, filed July 15, 2020) (File No. 001-33520)</w:t>
        </w:r>
      </w:hyperlink>
    </w:p>
    <w:p>
      <w:pPr>
        <w:spacing w:after="0" w:line="64" w:lineRule="exact"/>
        <w:rPr>
          <w:sz w:val="20"/>
          <w:szCs w:val="20"/>
          <w:color w:val="auto"/>
        </w:rPr>
      </w:pPr>
    </w:p>
    <w:p>
      <w:pPr>
        <w:jc w:val="right"/>
        <w:ind w:left="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10.20*      </w:t>
      </w:r>
      <w:hyperlink r:id="rId152">
        <w:r>
          <w:rPr>
            <w:rFonts w:ascii="Times New Roman" w:cs="Times New Roman" w:eastAsia="Times New Roman" w:hAnsi="Times New Roman"/>
            <w:sz w:val="18"/>
            <w:szCs w:val="18"/>
            <w:u w:val="single" w:color="auto"/>
            <w:color w:val="0000FF"/>
          </w:rPr>
          <w:t>First Amendment to the comScore, Inc. Amended and Restated 2018 Equity and Incentive Compensation Plan (incorporated by reference to</w:t>
        </w:r>
      </w:hyperlink>
      <w:r>
        <w:rPr>
          <w:rFonts w:ascii="Times New Roman" w:cs="Times New Roman" w:eastAsia="Times New Roman" w:hAnsi="Times New Roman"/>
          <w:sz w:val="18"/>
          <w:szCs w:val="18"/>
          <w:color w:val="auto"/>
        </w:rPr>
        <w:t xml:space="preserve"> </w:t>
      </w:r>
      <w:hyperlink r:id="rId152">
        <w:r>
          <w:rPr>
            <w:rFonts w:ascii="Times New Roman" w:cs="Times New Roman" w:eastAsia="Times New Roman" w:hAnsi="Times New Roman"/>
            <w:sz w:val="18"/>
            <w:szCs w:val="18"/>
            <w:u w:val="single" w:color="auto"/>
            <w:color w:val="0000FF"/>
          </w:rPr>
          <w:t>Exhibit 10.1 to the Registrant's Quarterly Report on Form 10-Q for the period ended June 30, 2022, filed August 9, 2022) (File No. 001-</w:t>
        </w:r>
      </w:hyperlink>
    </w:p>
    <w:p>
      <w:pPr>
        <w:spacing w:after="0" w:line="2"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33520)</w:t>
        </w:r>
      </w:hyperlink>
    </w:p>
    <w:p>
      <w:pPr>
        <w:spacing w:after="0" w:line="57" w:lineRule="exact"/>
        <w:rPr>
          <w:sz w:val="20"/>
          <w:szCs w:val="20"/>
          <w:color w:val="auto"/>
        </w:rPr>
      </w:pPr>
    </w:p>
    <w:p>
      <w:pPr>
        <w:jc w:val="right"/>
        <w:ind w:left="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10.21*      </w:t>
      </w:r>
      <w:hyperlink r:id="rId153">
        <w:r>
          <w:rPr>
            <w:rFonts w:ascii="Times New Roman" w:cs="Times New Roman" w:eastAsia="Times New Roman" w:hAnsi="Times New Roman"/>
            <w:sz w:val="18"/>
            <w:szCs w:val="18"/>
            <w:u w:val="single" w:color="auto"/>
            <w:color w:val="0000FF"/>
          </w:rPr>
          <w:t>Second Amendment to the comScore, Inc. Amended and Restated 2018 Equity and Incentive Compensation Plan (incorporated by reference</w:t>
        </w:r>
      </w:hyperlink>
      <w:r>
        <w:rPr>
          <w:rFonts w:ascii="Times New Roman" w:cs="Times New Roman" w:eastAsia="Times New Roman" w:hAnsi="Times New Roman"/>
          <w:sz w:val="18"/>
          <w:szCs w:val="18"/>
          <w:color w:val="auto"/>
        </w:rPr>
        <w:t xml:space="preserve"> </w:t>
      </w:r>
      <w:hyperlink r:id="rId153">
        <w:r>
          <w:rPr>
            <w:rFonts w:ascii="Times New Roman" w:cs="Times New Roman" w:eastAsia="Times New Roman" w:hAnsi="Times New Roman"/>
            <w:sz w:val="18"/>
            <w:szCs w:val="18"/>
            <w:u w:val="single" w:color="auto"/>
            <w:color w:val="0000FF"/>
          </w:rPr>
          <w:t>to Exhibit 10.1 to the Registrant's Quarterly Report on Form 10-Q for the period ended June 30, 2023, filed August 9, 2023) (File No. 001-</w:t>
        </w:r>
      </w:hyperlink>
    </w:p>
    <w:p>
      <w:pPr>
        <w:spacing w:after="0" w:line="2"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33520)</w:t>
        </w:r>
      </w:hyperlink>
    </w:p>
    <w:p>
      <w:pPr>
        <w:spacing w:after="0" w:line="57"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154">
        <w:r>
          <w:rPr>
            <w:rFonts w:ascii="Times New Roman" w:cs="Times New Roman" w:eastAsia="Times New Roman" w:hAnsi="Times New Roman"/>
            <w:sz w:val="18"/>
            <w:szCs w:val="18"/>
            <w:u w:val="single" w:color="auto"/>
            <w:color w:val="0000FF"/>
          </w:rPr>
          <w:t>Third Amendment to the comScore, Inc. Amended and Restated 2018 Equity and Incentive Compensation Plan (incorporated by reference to</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Exhibit 10.1 to the Registrant's Current Report on Form 8-K, filed December 27, 2023) (File No. 001-33520)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55">
        <w:r>
          <w:rPr>
            <w:rFonts w:ascii="Times New Roman" w:cs="Times New Roman" w:eastAsia="Times New Roman" w:hAnsi="Times New Roman"/>
            <w:sz w:val="18"/>
            <w:szCs w:val="18"/>
            <w:u w:val="single" w:color="auto"/>
            <w:color w:val="0000FF"/>
          </w:rPr>
          <w:t>Form of Restricted Stock Units Award Notice for Directors (incorporated by reference to Exhibit 10.5 to the Registrant's Current Report on</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Form 8-K, filed June 5, 2018) (File No. 001-33520)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156">
        <w:r>
          <w:rPr>
            <w:rFonts w:ascii="Times New Roman" w:cs="Times New Roman" w:eastAsia="Times New Roman" w:hAnsi="Times New Roman"/>
            <w:sz w:val="18"/>
            <w:szCs w:val="18"/>
            <w:u w:val="single" w:color="auto"/>
            <w:color w:val="0000FF"/>
          </w:rPr>
          <w:t>Form of Restricted Stock Units Award Agreement for Employees (incorporated by reference to Exhibit 10.5 to the Registrant's Quarterly</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Report on Form 10-Q for the period ended September 30, 2018, filed November 9, 2018) (File No. 001-33520)</w:t>
        </w:r>
      </w:hyperlink>
    </w:p>
    <w:p>
      <w:pPr>
        <w:spacing w:after="0" w:line="64" w:lineRule="exact"/>
        <w:rPr>
          <w:sz w:val="20"/>
          <w:szCs w:val="20"/>
          <w:color w:val="auto"/>
        </w:rPr>
      </w:pPr>
    </w:p>
    <w:p>
      <w:pPr>
        <w:jc w:val="right"/>
        <w:ind w:left="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10.25*      </w:t>
      </w:r>
      <w:hyperlink r:id="rId157">
        <w:r>
          <w:rPr>
            <w:rFonts w:ascii="Times New Roman" w:cs="Times New Roman" w:eastAsia="Times New Roman" w:hAnsi="Times New Roman"/>
            <w:sz w:val="18"/>
            <w:szCs w:val="18"/>
            <w:u w:val="single" w:color="auto"/>
            <w:color w:val="0000FF"/>
          </w:rPr>
          <w:t>Form of Stock Option Grant Notice and Stock Option Agreement under 2018 Equity and Incentive Compensation Plan (incorporated by</w:t>
        </w:r>
      </w:hyperlink>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u w:val="single" w:color="auto"/>
            <w:color w:val="0000FF"/>
          </w:rPr>
          <w:t>reference to Exhibit 10.33 to the Registrant's Annual Report on Form 10-K for the period ended December 31, 2019, filed February 28,</w:t>
        </w:r>
      </w:hyperlink>
    </w:p>
    <w:p>
      <w:pPr>
        <w:spacing w:after="0" w:line="2"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2020) (File No. 001-33520)</w:t>
        </w:r>
      </w:hyperlink>
    </w:p>
    <w:p>
      <w:pPr>
        <w:spacing w:after="0" w:line="45" w:lineRule="exact"/>
        <w:rPr>
          <w:sz w:val="20"/>
          <w:szCs w:val="20"/>
          <w:color w:val="auto"/>
        </w:rPr>
      </w:pPr>
    </w:p>
    <w:p>
      <w:pPr>
        <w:jc w:val="right"/>
        <w:spacing w:after="0"/>
        <w:tabs>
          <w:tab w:leader="none" w:pos="10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158">
        <w:r>
          <w:rPr>
            <w:rFonts w:ascii="Times New Roman" w:cs="Times New Roman" w:eastAsia="Times New Roman" w:hAnsi="Times New Roman"/>
            <w:sz w:val="18"/>
            <w:szCs w:val="18"/>
            <w:u w:val="single" w:color="auto"/>
            <w:color w:val="0000FF"/>
          </w:rPr>
          <w:t>Form of Restricted Stock Units Award Agreement under 2018 Equity and Incentive Compensation Plan (incorporated by reference to Exhibit</w:t>
        </w:r>
      </w:hyperlink>
    </w:p>
    <w:p>
      <w:pPr>
        <w:jc w:val="right"/>
        <w:spacing w:after="0" w:line="219" w:lineRule="auto"/>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10.36 to the Registrant's Annual Report on Form 10-K for the period ended December 31, 2019, filed February 28, 2020) (File No. 001-</w:t>
        </w:r>
      </w:hyperlink>
    </w:p>
    <w:p>
      <w:pPr>
        <w:ind w:left="1020"/>
        <w:spacing w:after="0"/>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33520)</w:t>
        </w:r>
      </w:hyperlink>
    </w:p>
    <w:p>
      <w:pPr>
        <w:spacing w:after="0" w:line="57"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159">
        <w:r>
          <w:rPr>
            <w:rFonts w:ascii="Times New Roman" w:cs="Times New Roman" w:eastAsia="Times New Roman" w:hAnsi="Times New Roman"/>
            <w:sz w:val="18"/>
            <w:szCs w:val="18"/>
            <w:u w:val="single" w:color="auto"/>
            <w:color w:val="0000FF"/>
          </w:rPr>
          <w:t>Form of Indemnification Agreement for Directors and Executive Officers (incorporated by reference to Exhibit 10.5 to the Registrant's</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Quarterly Report on Form 10-Q for the period ended March 31, 2021, filed May 6, 2021) (File No. 001-33520)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160">
        <w:r>
          <w:rPr>
            <w:rFonts w:ascii="Times New Roman" w:cs="Times New Roman" w:eastAsia="Times New Roman" w:hAnsi="Times New Roman"/>
            <w:sz w:val="18"/>
            <w:szCs w:val="18"/>
            <w:u w:val="single" w:color="auto"/>
            <w:color w:val="0000FF"/>
          </w:rPr>
          <w:t>Severance Agreement, effective as of November 29, 2021, by and between comScore, Inc. and Jonathan Carpenter (incorporated by</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reference to Exhibit 10.1 to the Registrant's Current Report on Form 8-K, filed October 25, 2021) (File No. 001-33520)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161">
        <w:r>
          <w:rPr>
            <w:rFonts w:ascii="Times New Roman" w:cs="Times New Roman" w:eastAsia="Times New Roman" w:hAnsi="Times New Roman"/>
            <w:sz w:val="18"/>
            <w:szCs w:val="18"/>
            <w:u w:val="single" w:color="auto"/>
            <w:color w:val="0000FF"/>
          </w:rPr>
          <w:t>Change of Control Agreement, effective as of November 29, 2021, by and between comScore, Inc. and Jonathan Carpenter (incorporated by</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reference to Exhibit 10.2 to the Registrant's Current Report on Form 8-K, filed October 25, 2021) (File No. 001-33520)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162">
        <w:r>
          <w:rPr>
            <w:rFonts w:ascii="Times New Roman" w:cs="Times New Roman" w:eastAsia="Times New Roman" w:hAnsi="Times New Roman"/>
            <w:sz w:val="18"/>
            <w:szCs w:val="18"/>
            <w:u w:val="single" w:color="auto"/>
            <w:color w:val="0000FF"/>
          </w:rPr>
          <w:t>Restricted Stock Units Award Agreement, dated November 29, 2021, between comScore, Inc. and Jonathan Carpenter (incorporated by</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reference to Exhibit 99.5 to the Registrant's Registration Statement on Form S-8, filed December 23, 2021) (File No. 333-261890)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163">
        <w:r>
          <w:rPr>
            <w:rFonts w:ascii="Times New Roman" w:cs="Times New Roman" w:eastAsia="Times New Roman" w:hAnsi="Times New Roman"/>
            <w:sz w:val="18"/>
            <w:szCs w:val="18"/>
            <w:u w:val="single" w:color="auto"/>
            <w:color w:val="0000FF"/>
          </w:rPr>
          <w:t>Shareablee, Inc. 2013 Stock Option/Stock Issuance Plan (incorporated by reference to Exhibit 99.1 to the Registrant's Registration Statement</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on Form S-8, filed December 23, 2021) (File No. 333-261890)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164">
        <w:r>
          <w:rPr>
            <w:rFonts w:ascii="Times New Roman" w:cs="Times New Roman" w:eastAsia="Times New Roman" w:hAnsi="Times New Roman"/>
            <w:sz w:val="18"/>
            <w:szCs w:val="18"/>
            <w:u w:val="single" w:color="auto"/>
            <w:color w:val="0000FF"/>
          </w:rPr>
          <w:t>Amendment No. 1 to Shareablee, Inc. 2013 Stock Option/Stock Issuance Plan (incorporated by reference to Exhibit 99.2 to the Registrant's</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Registration Statement on Form S-8, filed December 23, 2021) (File No. 333-261890)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165">
        <w:r>
          <w:rPr>
            <w:rFonts w:ascii="Times New Roman" w:cs="Times New Roman" w:eastAsia="Times New Roman" w:hAnsi="Times New Roman"/>
            <w:sz w:val="18"/>
            <w:szCs w:val="18"/>
            <w:u w:val="single" w:color="auto"/>
            <w:color w:val="0000FF"/>
          </w:rPr>
          <w:t>Amendment No. 2 to Shareablee, Inc. 2013 Stock Option/Stock Issuance Plan (incorporated by reference to Exhibit 99.3 to the Registrant's</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Registration Statement on Form S-8, filed December 23, 2021) (File No. 333-261890)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166">
        <w:r>
          <w:rPr>
            <w:rFonts w:ascii="Times New Roman" w:cs="Times New Roman" w:eastAsia="Times New Roman" w:hAnsi="Times New Roman"/>
            <w:sz w:val="18"/>
            <w:szCs w:val="18"/>
            <w:u w:val="single" w:color="auto"/>
            <w:color w:val="0000FF"/>
          </w:rPr>
          <w:t>Amendment No. 3 to Shareablee, Inc. 2013 Stock Option/Stock Issuance Plan (incorporated by reference to Exhibit 99.4 to the Registrant's</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Registration Statement on Form S-8, filed December 23, 2021) (File No. 333-261890)</w:t>
        </w:r>
      </w:hyperlink>
    </w:p>
    <w:p>
      <w:pPr>
        <w:spacing w:after="0" w:line="64" w:lineRule="exact"/>
        <w:rPr>
          <w:sz w:val="20"/>
          <w:szCs w:val="20"/>
          <w:color w:val="auto"/>
        </w:rPr>
      </w:pPr>
    </w:p>
    <w:p>
      <w:pPr>
        <w:ind w:left="1020" w:right="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167">
        <w:r>
          <w:rPr>
            <w:rFonts w:ascii="Times New Roman" w:cs="Times New Roman" w:eastAsia="Times New Roman" w:hAnsi="Times New Roman"/>
            <w:sz w:val="18"/>
            <w:szCs w:val="18"/>
            <w:u w:val="single" w:color="auto"/>
            <w:color w:val="0000FF"/>
          </w:rPr>
          <w:t>Transition and Separation Agreement, dated as of February 28, 2022, between comScore, Inc. and William Livek (incorporated by reference</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to Exhibit 10.2 to the Registrant's Current Report on Form 8-K, filed February 28, 2022) (File No. 001-33520)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10.36*</w:t>
      </w:r>
      <w:r>
        <w:rPr>
          <w:sz w:val="20"/>
          <w:szCs w:val="20"/>
          <w:color w:val="auto"/>
        </w:rPr>
        <w:tab/>
      </w:r>
      <w:hyperlink r:id="rId168">
        <w:r>
          <w:rPr>
            <w:rFonts w:ascii="Times New Roman" w:cs="Times New Roman" w:eastAsia="Times New Roman" w:hAnsi="Times New Roman"/>
            <w:sz w:val="18"/>
            <w:szCs w:val="18"/>
            <w:u w:val="single" w:color="auto"/>
            <w:color w:val="0000FF"/>
          </w:rPr>
          <w:t>Letter Agreement, dated July 5, 2022, by and between comScore, Inc. and Jonathan Carpenter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the Registrant's Current Report on Form 8-K, filed July 8, 2022) (File No. 001-33520)</w:t>
        </w:r>
      </w:hyperlink>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82" w:lineRule="exact"/>
        <w:rPr>
          <w:sz w:val="20"/>
          <w:szCs w:val="20"/>
          <w:color w:val="auto"/>
        </w:rPr>
      </w:pPr>
    </w:p>
    <w:p>
      <w:pPr>
        <w:jc w:val="right"/>
        <w:ind w:left="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10.37*      </w:t>
      </w:r>
      <w:hyperlink r:id="rId170">
        <w:r>
          <w:rPr>
            <w:rFonts w:ascii="Times New Roman" w:cs="Times New Roman" w:eastAsia="Times New Roman" w:hAnsi="Times New Roman"/>
            <w:sz w:val="18"/>
            <w:szCs w:val="18"/>
            <w:u w:val="single" w:color="auto"/>
            <w:color w:val="0000FF"/>
          </w:rPr>
          <w:t>First Amendment to the comScore, Inc. Change of Control Agreement, effective as of July 6, 2022, by and between comScore, Inc. and</w:t>
        </w:r>
      </w:hyperlink>
      <w:r>
        <w:rPr>
          <w:rFonts w:ascii="Times New Roman" w:cs="Times New Roman" w:eastAsia="Times New Roman" w:hAnsi="Times New Roman"/>
          <w:sz w:val="18"/>
          <w:szCs w:val="18"/>
          <w:color w:val="auto"/>
        </w:rPr>
        <w:t xml:space="preserve"> </w:t>
      </w:r>
      <w:hyperlink r:id="rId170">
        <w:r>
          <w:rPr>
            <w:rFonts w:ascii="Times New Roman" w:cs="Times New Roman" w:eastAsia="Times New Roman" w:hAnsi="Times New Roman"/>
            <w:sz w:val="18"/>
            <w:szCs w:val="18"/>
            <w:u w:val="single" w:color="auto"/>
            <w:color w:val="0000FF"/>
          </w:rPr>
          <w:t>Jonathan Carpenter (incorporated by reference to Exhibit 10.2 to the Registrant's Current Report on Form 8-K, filed July 8, 2022) (File No.</w:t>
        </w:r>
      </w:hyperlink>
    </w:p>
    <w:p>
      <w:pPr>
        <w:spacing w:after="0" w:line="2"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001-33520)</w:t>
        </w:r>
      </w:hyperlink>
    </w:p>
    <w:p>
      <w:pPr>
        <w:spacing w:after="0" w:line="57" w:lineRule="exact"/>
        <w:rPr>
          <w:sz w:val="20"/>
          <w:szCs w:val="20"/>
          <w:color w:val="auto"/>
        </w:rPr>
      </w:pPr>
    </w:p>
    <w:p>
      <w:pPr>
        <w:jc w:val="right"/>
        <w:ind w:left="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10.38*      </w:t>
      </w:r>
      <w:hyperlink r:id="rId171">
        <w:r>
          <w:rPr>
            <w:rFonts w:ascii="Times New Roman" w:cs="Times New Roman" w:eastAsia="Times New Roman" w:hAnsi="Times New Roman"/>
            <w:sz w:val="18"/>
            <w:szCs w:val="18"/>
            <w:u w:val="single" w:color="auto"/>
            <w:color w:val="0000FF"/>
          </w:rPr>
          <w:t>First Amendment to the comScore, Inc. Severance Agreement, effective as of July 6, 2022, by and between comScore, Inc. and Jonathan</w:t>
        </w:r>
      </w:hyperlink>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u w:val="single" w:color="auto"/>
            <w:color w:val="0000FF"/>
          </w:rPr>
          <w:t>Carpenter (incorporated by reference to Exhibit 10.3 to the Registrant's Current Report on Form 8-K, filed July 8, 2022) (File No. 001-</w:t>
        </w:r>
      </w:hyperlink>
    </w:p>
    <w:p>
      <w:pPr>
        <w:spacing w:after="0" w:line="2"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33520)</w:t>
        </w:r>
      </w:hyperlink>
    </w:p>
    <w:p>
      <w:pPr>
        <w:spacing w:after="0" w:line="57"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10.39*</w:t>
      </w:r>
      <w:r>
        <w:rPr>
          <w:sz w:val="20"/>
          <w:szCs w:val="20"/>
          <w:color w:val="auto"/>
        </w:rPr>
        <w:tab/>
      </w:r>
      <w:hyperlink r:id="rId172">
        <w:r>
          <w:rPr>
            <w:rFonts w:ascii="Times New Roman" w:cs="Times New Roman" w:eastAsia="Times New Roman" w:hAnsi="Times New Roman"/>
            <w:sz w:val="18"/>
            <w:szCs w:val="18"/>
            <w:u w:val="single" w:color="auto"/>
            <w:color w:val="0000FF"/>
          </w:rPr>
          <w:t>Letter Agreement, dated July 5, 2022, by and between comScore, Inc. and Mary Margaret Curry (incorporated by reference to Exhibit 10.4 to</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the Registrant's Current Report on Form 8-K, filed July 8, 2022) (File No. 001-33520)</w:t>
        </w:r>
      </w:hyperlink>
    </w:p>
    <w:p>
      <w:pPr>
        <w:spacing w:after="0" w:line="64" w:lineRule="exact"/>
        <w:rPr>
          <w:sz w:val="20"/>
          <w:szCs w:val="20"/>
          <w:color w:val="auto"/>
        </w:rPr>
      </w:pPr>
    </w:p>
    <w:p>
      <w:pPr>
        <w:ind w:left="1020" w:right="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10.40*</w:t>
      </w:r>
      <w:r>
        <w:rPr>
          <w:sz w:val="20"/>
          <w:szCs w:val="20"/>
          <w:color w:val="auto"/>
        </w:rPr>
        <w:tab/>
      </w:r>
      <w:hyperlink r:id="rId173">
        <w:r>
          <w:rPr>
            <w:rFonts w:ascii="Times New Roman" w:cs="Times New Roman" w:eastAsia="Times New Roman" w:hAnsi="Times New Roman"/>
            <w:sz w:val="18"/>
            <w:szCs w:val="18"/>
            <w:u w:val="single" w:color="auto"/>
            <w:color w:val="0000FF"/>
          </w:rPr>
          <w:t>Change of Control Agreement, effective as of July 6, 2022, by and between comScore, Inc. and Mary Margaret Curry (incorporated by</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reference to Exhibit 10.5 to the Registrant's Current Report on Form 8-K, filed July 8, 2022) (File No. 001-33520)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10.41*</w:t>
      </w:r>
      <w:r>
        <w:rPr>
          <w:sz w:val="20"/>
          <w:szCs w:val="20"/>
          <w:color w:val="auto"/>
        </w:rPr>
        <w:tab/>
      </w:r>
      <w:hyperlink r:id="rId174">
        <w:r>
          <w:rPr>
            <w:rFonts w:ascii="Times New Roman" w:cs="Times New Roman" w:eastAsia="Times New Roman" w:hAnsi="Times New Roman"/>
            <w:sz w:val="18"/>
            <w:szCs w:val="18"/>
            <w:u w:val="single" w:color="auto"/>
            <w:color w:val="0000FF"/>
          </w:rPr>
          <w:t>Severance Agreement, effective as of July 6, 2022, by and between comScore, Inc. and Mary Margaret Curry (incorporated by reference to</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Exhibit 10.6 to the Registrant's Current Report on Form 8-K, filed July 8, 2022) (File No. 001-33520)</w:t>
        </w:r>
      </w:hyperlink>
    </w:p>
    <w:p>
      <w:pPr>
        <w:spacing w:after="0" w:line="64" w:lineRule="exact"/>
        <w:rPr>
          <w:sz w:val="20"/>
          <w:szCs w:val="20"/>
          <w:color w:val="auto"/>
        </w:rPr>
      </w:pPr>
    </w:p>
    <w:p>
      <w:pPr>
        <w:ind w:left="1020" w:right="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10.42*</w:t>
      </w:r>
      <w:r>
        <w:rPr>
          <w:sz w:val="20"/>
          <w:szCs w:val="20"/>
          <w:color w:val="auto"/>
        </w:rPr>
        <w:tab/>
      </w:r>
      <w:hyperlink r:id="rId175">
        <w:r>
          <w:rPr>
            <w:rFonts w:ascii="Times New Roman" w:cs="Times New Roman" w:eastAsia="Times New Roman" w:hAnsi="Times New Roman"/>
            <w:sz w:val="18"/>
            <w:szCs w:val="18"/>
            <w:u w:val="single" w:color="auto"/>
            <w:color w:val="0000FF"/>
          </w:rPr>
          <w:t>Form of Performance Restricted Stock Units Award Agreement for CEO (incorporated by reference to Exhibit 10.8 to the Registrant's</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Quarterly Report on Form 10-Q for the period ended June 30, 2022, filed August 9, 2022) (File No. 001-33520)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10.43*</w:t>
      </w:r>
      <w:r>
        <w:rPr>
          <w:sz w:val="20"/>
          <w:szCs w:val="20"/>
          <w:color w:val="auto"/>
        </w:rPr>
        <w:tab/>
      </w:r>
      <w:hyperlink r:id="rId176">
        <w:r>
          <w:rPr>
            <w:rFonts w:ascii="Times New Roman" w:cs="Times New Roman" w:eastAsia="Times New Roman" w:hAnsi="Times New Roman"/>
            <w:sz w:val="18"/>
            <w:szCs w:val="18"/>
            <w:u w:val="single" w:color="auto"/>
            <w:color w:val="0000FF"/>
          </w:rPr>
          <w:t>Form of Performance Restricted Stock Units Award Agreement for CFO (incorporated by reference to Exhibit 10.9 to the Registrant's</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Quarterly Report on Form 10-Q for the period ended June 30, 2022, filed August 9, 2022) (File No. 001-33520)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10.44*</w:t>
      </w:r>
      <w:r>
        <w:rPr>
          <w:sz w:val="20"/>
          <w:szCs w:val="20"/>
          <w:color w:val="auto"/>
        </w:rPr>
        <w:tab/>
      </w:r>
      <w:hyperlink r:id="rId177">
        <w:r>
          <w:rPr>
            <w:rFonts w:ascii="Times New Roman" w:cs="Times New Roman" w:eastAsia="Times New Roman" w:hAnsi="Times New Roman"/>
            <w:sz w:val="18"/>
            <w:szCs w:val="18"/>
            <w:u w:val="single" w:color="auto"/>
            <w:color w:val="0000FF"/>
          </w:rPr>
          <w:t>Letter Agreement, dated August 22, 2022, by and between comScore, Inc. and Greg Dale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Registrant's Current Report on Form 8-K, filed August 26, 2022) (File No. 001-33520)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10.45*</w:t>
      </w:r>
      <w:r>
        <w:rPr>
          <w:sz w:val="20"/>
          <w:szCs w:val="20"/>
          <w:color w:val="auto"/>
        </w:rPr>
        <w:tab/>
      </w:r>
      <w:hyperlink r:id="rId178">
        <w:r>
          <w:rPr>
            <w:rFonts w:ascii="Times New Roman" w:cs="Times New Roman" w:eastAsia="Times New Roman" w:hAnsi="Times New Roman"/>
            <w:sz w:val="18"/>
            <w:szCs w:val="18"/>
            <w:u w:val="single" w:color="auto"/>
            <w:color w:val="0000FF"/>
          </w:rPr>
          <w:t>Change of Control Agreement, effective as of August 23, 2022, by and between comScore, Inc. and Greg Dale (incorporated by reference to</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Exhibit 10.2 to the Registrant's Current Report on Form 8-K, filed August 26, 2022) (File No. 001-33520)</w:t>
        </w:r>
      </w:hyperlink>
    </w:p>
    <w:p>
      <w:pPr>
        <w:spacing w:after="0" w:line="52" w:lineRule="exact"/>
        <w:rPr>
          <w:sz w:val="20"/>
          <w:szCs w:val="20"/>
          <w:color w:val="auto"/>
        </w:rPr>
      </w:pPr>
    </w:p>
    <w:p>
      <w:pPr>
        <w:ind w:left="20"/>
        <w:spacing w:after="0"/>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10.46*</w:t>
      </w:r>
      <w:r>
        <w:rPr>
          <w:sz w:val="20"/>
          <w:szCs w:val="20"/>
          <w:color w:val="auto"/>
        </w:rPr>
        <w:tab/>
      </w:r>
      <w:hyperlink r:id="rId179">
        <w:r>
          <w:rPr>
            <w:rFonts w:ascii="Times New Roman" w:cs="Times New Roman" w:eastAsia="Times New Roman" w:hAnsi="Times New Roman"/>
            <w:sz w:val="18"/>
            <w:szCs w:val="18"/>
            <w:u w:val="single" w:color="auto"/>
            <w:color w:val="0000FF"/>
          </w:rPr>
          <w:t>Severance Agreement, effective as of August 23, 2022, by and between comScore, Inc. and Greg Dale (incorporated by reference to Exhibit</w:t>
        </w:r>
      </w:hyperlink>
    </w:p>
    <w:p>
      <w:pPr>
        <w:ind w:left="1020"/>
        <w:spacing w:after="0"/>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10.3 to the Registrant's Current Report on Form 8-K, filed August 26, 2022) (File No. 001-33520)</w:t>
        </w:r>
      </w:hyperlink>
    </w:p>
    <w:p>
      <w:pPr>
        <w:spacing w:after="0" w:line="70"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10.47*</w:t>
      </w:r>
      <w:r>
        <w:rPr>
          <w:sz w:val="20"/>
          <w:szCs w:val="20"/>
          <w:color w:val="auto"/>
        </w:rPr>
        <w:tab/>
      </w:r>
      <w:hyperlink r:id="rId180">
        <w:r>
          <w:rPr>
            <w:rFonts w:ascii="Times New Roman" w:cs="Times New Roman" w:eastAsia="Times New Roman" w:hAnsi="Times New Roman"/>
            <w:sz w:val="18"/>
            <w:szCs w:val="18"/>
            <w:u w:val="single" w:color="auto"/>
            <w:color w:val="0000FF"/>
          </w:rPr>
          <w:t>Form of Performance Restricted Stock Units Award Agreement for COO (incorporated by reference to Exhibit 10.12 to the Registrant's</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Quarterly Report on Form 10-Q for the period ended September 30, 2022, filed November 9, 2022) (File No. 001-33520)</w:t>
        </w:r>
      </w:hyperlink>
    </w:p>
    <w:p>
      <w:pPr>
        <w:spacing w:after="0" w:line="64" w:lineRule="exact"/>
        <w:rPr>
          <w:sz w:val="20"/>
          <w:szCs w:val="20"/>
          <w:color w:val="auto"/>
        </w:rPr>
      </w:pPr>
    </w:p>
    <w:p>
      <w:pPr>
        <w:ind w:left="1020" w:right="180" w:hanging="998"/>
        <w:spacing w:after="0" w:line="236" w:lineRule="auto"/>
        <w:tabs>
          <w:tab w:leader="none" w:pos="10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10.48*</w:t>
      </w:r>
      <w:r>
        <w:rPr>
          <w:sz w:val="20"/>
          <w:szCs w:val="20"/>
          <w:color w:val="auto"/>
        </w:rPr>
        <w:tab/>
      </w:r>
      <w:hyperlink r:id="rId181">
        <w:r>
          <w:rPr>
            <w:rFonts w:ascii="Times New Roman" w:cs="Times New Roman" w:eastAsia="Times New Roman" w:hAnsi="Times New Roman"/>
            <w:sz w:val="17"/>
            <w:szCs w:val="17"/>
            <w:u w:val="single" w:color="auto"/>
            <w:color w:val="0000FF"/>
          </w:rPr>
          <w:t>Form of Restricted Stock Units Award Agreement, dated June 6, 2023, under Shareablee, Inc. 2013 Stock Option/Stock Issuance Plan</w:t>
        </w:r>
      </w:hyperlink>
      <w:r>
        <w:rPr>
          <w:rFonts w:ascii="Times New Roman" w:cs="Times New Roman" w:eastAsia="Times New Roman" w:hAnsi="Times New Roman"/>
          <w:sz w:val="17"/>
          <w:szCs w:val="17"/>
          <w:u w:val="single" w:color="auto"/>
          <w:color w:val="0000FF"/>
        </w:rPr>
        <w:t xml:space="preserve"> </w:t>
      </w:r>
      <w:hyperlink r:id="rId181">
        <w:r>
          <w:rPr>
            <w:rFonts w:ascii="Times New Roman" w:cs="Times New Roman" w:eastAsia="Times New Roman" w:hAnsi="Times New Roman"/>
            <w:sz w:val="17"/>
            <w:szCs w:val="17"/>
            <w:u w:val="single" w:color="auto"/>
            <w:color w:val="0000FF"/>
          </w:rPr>
          <w:t>(incorporated by reference to Exhibit 10.55 to the Registrant's Annual Report on Form 10-K for the period ended December 31, 2023, filed</w:t>
        </w:r>
      </w:hyperlink>
    </w:p>
    <w:p>
      <w:pPr>
        <w:ind w:left="1020"/>
        <w:spacing w:after="0"/>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March 12, 2024) (File No. 001-33520)</w:t>
        </w:r>
      </w:hyperlink>
    </w:p>
    <w:p>
      <w:pPr>
        <w:spacing w:after="0" w:line="57" w:lineRule="exact"/>
        <w:rPr>
          <w:sz w:val="20"/>
          <w:szCs w:val="20"/>
          <w:color w:val="auto"/>
        </w:rPr>
      </w:pPr>
    </w:p>
    <w:p>
      <w:pPr>
        <w:jc w:val="right"/>
        <w:ind w:left="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10.49*      </w:t>
      </w:r>
      <w:hyperlink r:id="rId182">
        <w:r>
          <w:rPr>
            <w:rFonts w:ascii="Times New Roman" w:cs="Times New Roman" w:eastAsia="Times New Roman" w:hAnsi="Times New Roman"/>
            <w:sz w:val="18"/>
            <w:szCs w:val="18"/>
            <w:u w:val="single" w:color="auto"/>
            <w:color w:val="0000FF"/>
          </w:rPr>
          <w:t>Form of Amendment to Performance Restricted Stock Units Award Agreement, dated December 20, 2023 (incorporated by reference to</w:t>
        </w:r>
      </w:hyperlink>
      <w:r>
        <w:rPr>
          <w:rFonts w:ascii="Times New Roman" w:cs="Times New Roman" w:eastAsia="Times New Roman" w:hAnsi="Times New Roman"/>
          <w:sz w:val="18"/>
          <w:szCs w:val="18"/>
          <w:color w:val="auto"/>
        </w:rPr>
        <w:t xml:space="preserve"> </w:t>
      </w:r>
      <w:hyperlink r:id="rId182">
        <w:r>
          <w:rPr>
            <w:rFonts w:ascii="Times New Roman" w:cs="Times New Roman" w:eastAsia="Times New Roman" w:hAnsi="Times New Roman"/>
            <w:sz w:val="18"/>
            <w:szCs w:val="18"/>
            <w:u w:val="single" w:color="auto"/>
            <w:color w:val="0000FF"/>
          </w:rPr>
          <w:t>Exhibit 10.56 to the Registrant's Annual Report on Form 10-K for the period ended December 31, 2023, filed March 12, 2024) (File No. 001-</w:t>
        </w:r>
      </w:hyperlink>
    </w:p>
    <w:p>
      <w:pPr>
        <w:spacing w:after="0" w:line="2"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33520)</w:t>
        </w:r>
      </w:hyperlink>
    </w:p>
    <w:p>
      <w:pPr>
        <w:spacing w:after="0" w:line="57"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10.50*+</w:t>
      </w:r>
      <w:r>
        <w:rPr>
          <w:sz w:val="20"/>
          <w:szCs w:val="20"/>
          <w:color w:val="auto"/>
        </w:rPr>
        <w:tab/>
      </w:r>
      <w:r>
        <w:rPr>
          <w:rFonts w:ascii="Times New Roman" w:cs="Times New Roman" w:eastAsia="Times New Roman" w:hAnsi="Times New Roman"/>
          <w:sz w:val="18"/>
          <w:szCs w:val="18"/>
          <w:u w:val="single" w:color="auto"/>
          <w:color w:val="0000FF"/>
        </w:rPr>
        <w:t>Separation and General Release Agreement, dated as of January 27, 2025, by and between comScore, Inc. and David Algranati</w:t>
      </w:r>
    </w:p>
    <w:p>
      <w:pPr>
        <w:spacing w:after="0" w:line="77"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10.51</w:t>
      </w:r>
      <w:r>
        <w:rPr>
          <w:sz w:val="20"/>
          <w:szCs w:val="20"/>
          <w:color w:val="auto"/>
        </w:rPr>
        <w:tab/>
      </w:r>
      <w:hyperlink r:id="rId183">
        <w:r>
          <w:rPr>
            <w:rFonts w:ascii="Times New Roman" w:cs="Times New Roman" w:eastAsia="Times New Roman" w:hAnsi="Times New Roman"/>
            <w:sz w:val="18"/>
            <w:szCs w:val="18"/>
            <w:u w:val="single" w:color="auto"/>
            <w:color w:val="0000FF"/>
          </w:rPr>
          <w:t>Subscription Agreement, dated July 24, 2024, by and between comScore, Inc. and Charter Communications Holding Company, LLC</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(incorporated by reference to Exhibit 10.1 to the Registrant's Current Report on Form 8-K, filed July 25, 2024) (File No. 001-33520)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10.52</w:t>
      </w:r>
      <w:r>
        <w:rPr>
          <w:sz w:val="20"/>
          <w:szCs w:val="20"/>
          <w:color w:val="auto"/>
        </w:rPr>
        <w:tab/>
      </w:r>
      <w:hyperlink r:id="rId184">
        <w:r>
          <w:rPr>
            <w:rFonts w:ascii="Times New Roman" w:cs="Times New Roman" w:eastAsia="Times New Roman" w:hAnsi="Times New Roman"/>
            <w:sz w:val="18"/>
            <w:szCs w:val="18"/>
            <w:u w:val="single" w:color="auto"/>
            <w:color w:val="0000FF"/>
          </w:rPr>
          <w:t>Subscription Agreement, dated July 24, 2024, by and between comScore, Inc. and Liberty Broadband Corporation (incorporated by reference</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to Exhibit 10.2 to the Registrant's Current Report on Form 8-K, filed July 25, 2024) (File No. 001-33520)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10.53</w:t>
      </w:r>
      <w:r>
        <w:rPr>
          <w:sz w:val="20"/>
          <w:szCs w:val="20"/>
          <w:color w:val="auto"/>
        </w:rPr>
        <w:tab/>
      </w:r>
      <w:hyperlink r:id="rId185">
        <w:r>
          <w:rPr>
            <w:rFonts w:ascii="Times New Roman" w:cs="Times New Roman" w:eastAsia="Times New Roman" w:hAnsi="Times New Roman"/>
            <w:sz w:val="18"/>
            <w:szCs w:val="18"/>
            <w:u w:val="single" w:color="auto"/>
            <w:color w:val="0000FF"/>
          </w:rPr>
          <w:t>Subscription Agreement, dated July 24, 2024, by and between comScore, Inc. and Pine Investor, LLC (incorporated by reference to</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Exhibit10.3 to the Registrant's Current Report on Form 8-K, filed July 25, 2024) (File No. 001-33520)</w:t>
        </w:r>
      </w:hyperlink>
    </w:p>
    <w:p>
      <w:pPr>
        <w:spacing w:after="0" w:line="64" w:lineRule="exact"/>
        <w:rPr>
          <w:sz w:val="20"/>
          <w:szCs w:val="20"/>
          <w:color w:val="auto"/>
        </w:rPr>
      </w:pPr>
    </w:p>
    <w:p>
      <w:pPr>
        <w:jc w:val="right"/>
        <w:ind w:left="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10.54       </w:t>
      </w:r>
      <w:hyperlink r:id="rId186">
        <w:r>
          <w:rPr>
            <w:rFonts w:ascii="Times New Roman" w:cs="Times New Roman" w:eastAsia="Times New Roman" w:hAnsi="Times New Roman"/>
            <w:sz w:val="18"/>
            <w:szCs w:val="18"/>
            <w:u w:val="single" w:color="auto"/>
            <w:color w:val="0000FF"/>
          </w:rPr>
          <w:t>Amended and Restated Stockholders Agreement, dated July 24, 2024, by and among comScore, Inc., Charter Communications Holding</w:t>
        </w:r>
      </w:hyperlink>
      <w:r>
        <w:rPr>
          <w:rFonts w:ascii="Times New Roman" w:cs="Times New Roman" w:eastAsia="Times New Roman" w:hAnsi="Times New Roman"/>
          <w:sz w:val="18"/>
          <w:szCs w:val="18"/>
          <w:color w:val="auto"/>
        </w:rPr>
        <w:t xml:space="preserve"> </w:t>
      </w:r>
      <w:hyperlink r:id="rId186">
        <w:r>
          <w:rPr>
            <w:rFonts w:ascii="Times New Roman" w:cs="Times New Roman" w:eastAsia="Times New Roman" w:hAnsi="Times New Roman"/>
            <w:sz w:val="18"/>
            <w:szCs w:val="18"/>
            <w:u w:val="single" w:color="auto"/>
            <w:color w:val="0000FF"/>
          </w:rPr>
          <w:t>Company, LLC, Liberty Broadband Corporation and Pine Investor, LLC (incorporated by reference to Exhibit 10.4 to the Registrant's</w:t>
        </w:r>
      </w:hyperlink>
    </w:p>
    <w:p>
      <w:pPr>
        <w:spacing w:after="0" w:line="2"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Current Report on Form 8-K, filed July 25, 2024) (File No. 001-33520)</w:t>
        </w:r>
      </w:hyperlink>
    </w:p>
    <w:p>
      <w:pPr>
        <w:spacing w:after="0" w:line="57" w:lineRule="exact"/>
        <w:rPr>
          <w:sz w:val="20"/>
          <w:szCs w:val="20"/>
          <w:color w:val="auto"/>
        </w:rPr>
      </w:pPr>
    </w:p>
    <w:p>
      <w:pPr>
        <w:ind w:left="1020" w:hanging="998"/>
        <w:spacing w:after="0" w:line="237" w:lineRule="auto"/>
        <w:tabs>
          <w:tab w:leader="none" w:pos="1000" w:val="left"/>
        </w:tabs>
        <w:rPr>
          <w:sz w:val="20"/>
          <w:szCs w:val="20"/>
          <w:color w:val="auto"/>
        </w:rPr>
      </w:pPr>
      <w:r>
        <w:rPr>
          <w:rFonts w:ascii="Times New Roman" w:cs="Times New Roman" w:eastAsia="Times New Roman" w:hAnsi="Times New Roman"/>
          <w:sz w:val="18"/>
          <w:szCs w:val="18"/>
          <w:color w:val="auto"/>
        </w:rPr>
        <w:t>10.55^+</w:t>
      </w:r>
      <w:r>
        <w:rPr>
          <w:sz w:val="20"/>
          <w:szCs w:val="20"/>
          <w:color w:val="auto"/>
        </w:rPr>
        <w:tab/>
      </w:r>
      <w:r>
        <w:rPr>
          <w:rFonts w:ascii="Times New Roman" w:cs="Times New Roman" w:eastAsia="Times New Roman" w:hAnsi="Times New Roman"/>
          <w:sz w:val="18"/>
          <w:szCs w:val="18"/>
          <w:u w:val="single" w:color="auto"/>
          <w:color w:val="0000FF"/>
        </w:rPr>
        <w:t>Third Amendment to Data License Agreement, dated as of November 8, 2024, by and between comScore, Inc. and Charter Communications Operating, LLC</w:t>
      </w:r>
    </w:p>
    <w:p>
      <w:pPr>
        <w:spacing w:after="0" w:line="64" w:lineRule="exact"/>
        <w:rPr>
          <w:sz w:val="20"/>
          <w:szCs w:val="20"/>
          <w:color w:val="auto"/>
        </w:rPr>
      </w:pPr>
    </w:p>
    <w:p>
      <w:pPr>
        <w:jc w:val="right"/>
        <w:ind w:left="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10.56^      </w:t>
      </w:r>
      <w:hyperlink r:id="rId187">
        <w:r>
          <w:rPr>
            <w:rFonts w:ascii="Times New Roman" w:cs="Times New Roman" w:eastAsia="Times New Roman" w:hAnsi="Times New Roman"/>
            <w:sz w:val="18"/>
            <w:szCs w:val="18"/>
            <w:u w:val="single" w:color="auto"/>
            <w:color w:val="0000FF"/>
          </w:rPr>
          <w:t>Fourth Amendment to Data License Agreement, dated as of December 31, 2024, by and between comScore, Inc. and Charter</w:t>
        </w:r>
      </w:hyperlink>
      <w:r>
        <w:rPr>
          <w:rFonts w:ascii="Times New Roman" w:cs="Times New Roman" w:eastAsia="Times New Roman" w:hAnsi="Times New Roman"/>
          <w:sz w:val="18"/>
          <w:szCs w:val="18"/>
          <w:color w:val="auto"/>
        </w:rPr>
        <w:t xml:space="preserve"> </w:t>
      </w:r>
      <w:hyperlink r:id="rId187">
        <w:r>
          <w:rPr>
            <w:rFonts w:ascii="Times New Roman" w:cs="Times New Roman" w:eastAsia="Times New Roman" w:hAnsi="Times New Roman"/>
            <w:sz w:val="18"/>
            <w:szCs w:val="18"/>
            <w:u w:val="single" w:color="auto"/>
            <w:color w:val="0000FF"/>
          </w:rPr>
          <w:t>Communications Operating, LLC (incorporated by reference to Exhibit 10.1 to the Registrant's Current Report on Form 8-K, filed January 7,</w:t>
        </w:r>
      </w:hyperlink>
    </w:p>
    <w:p>
      <w:pPr>
        <w:spacing w:after="0" w:line="2"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2025) (File No. 001-33520)</w:t>
        </w:r>
      </w:hyperlink>
    </w:p>
    <w:p>
      <w:pPr>
        <w:spacing w:after="0" w:line="57" w:lineRule="exact"/>
        <w:rPr>
          <w:sz w:val="20"/>
          <w:szCs w:val="20"/>
          <w:color w:val="auto"/>
        </w:rPr>
      </w:pPr>
    </w:p>
    <w:p>
      <w:pPr>
        <w:jc w:val="right"/>
        <w:ind w:left="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10.57       </w:t>
      </w:r>
      <w:hyperlink r:id="rId188">
        <w:r>
          <w:rPr>
            <w:rFonts w:ascii="Times New Roman" w:cs="Times New Roman" w:eastAsia="Times New Roman" w:hAnsi="Times New Roman"/>
            <w:sz w:val="18"/>
            <w:szCs w:val="18"/>
            <w:u w:val="single" w:color="auto"/>
            <w:color w:val="0000FF"/>
          </w:rPr>
          <w:t>Third Amendment, dated as of May 3, 2024, to the Credit Agreement among comScore, Inc. (as Borrower), certain subsidiaries of the</w:t>
        </w:r>
      </w:hyperlink>
      <w:r>
        <w:rPr>
          <w:rFonts w:ascii="Times New Roman" w:cs="Times New Roman" w:eastAsia="Times New Roman" w:hAnsi="Times New Roman"/>
          <w:sz w:val="18"/>
          <w:szCs w:val="18"/>
          <w:color w:val="auto"/>
        </w:rPr>
        <w:t xml:space="preserve"> </w:t>
      </w:r>
      <w:hyperlink r:id="rId188">
        <w:r>
          <w:rPr>
            <w:rFonts w:ascii="Times New Roman" w:cs="Times New Roman" w:eastAsia="Times New Roman" w:hAnsi="Times New Roman"/>
            <w:sz w:val="18"/>
            <w:szCs w:val="18"/>
            <w:u w:val="single" w:color="auto"/>
            <w:color w:val="0000FF"/>
          </w:rPr>
          <w:t>Borrower (as Guarantors), Bank of America, N.A. (as Administrative Agent), and the lenders party thereto (incorporated by reference to</w:t>
        </w:r>
      </w:hyperlink>
    </w:p>
    <w:p>
      <w:pPr>
        <w:spacing w:after="0" w:line="2"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Exhibit 10.1 to the Registrant's Current Report on Form 8-K, filed May 7, 2024) (File No. 001-33520)</w:t>
        </w:r>
      </w:hyperlink>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10.58</w:t>
            </w:r>
          </w:p>
        </w:tc>
        <w:tc>
          <w:tcPr>
            <w:tcW w:w="10500" w:type="dxa"/>
            <w:vAlign w:val="bottom"/>
            <w:gridSpan w:val="30"/>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Fourth Amendment, dated as of November 5, 2024, to the Credit Agreement among comScore, Inc. (as Borrower), certain subsidiaries of the</w:t>
              </w:r>
            </w:hyperlink>
          </w:p>
        </w:tc>
      </w:tr>
      <w:tr>
        <w:trPr>
          <w:trHeight w:val="156"/>
        </w:trPr>
        <w:tc>
          <w:tcPr>
            <w:tcW w:w="1000" w:type="dxa"/>
            <w:vAlign w:val="bottom"/>
          </w:tcPr>
          <w:p>
            <w:pPr>
              <w:spacing w:after="0"/>
              <w:rPr>
                <w:sz w:val="13"/>
                <w:szCs w:val="13"/>
                <w:color w:val="auto"/>
              </w:rPr>
            </w:pPr>
          </w:p>
        </w:tc>
        <w:tc>
          <w:tcPr>
            <w:tcW w:w="1034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Borrower (as Guarantors), Bank of America, N.A. (as Administrative Agent), and the lenders party thereto (incorporated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0400" w:type="dxa"/>
            <w:vAlign w:val="bottom"/>
            <w:gridSpan w:val="25"/>
          </w:tcPr>
          <w:p>
            <w:pPr>
              <w:spacing w:after="0" w:line="169"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Exhibit 10.5 to the Registrant's Quarterly Report on Form 10-Q for the period ended September 30, 2024, filed November 12, 2024) (File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00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No. 001-33520)</w:t>
              </w:r>
            </w:hyperlink>
          </w:p>
        </w:tc>
        <w:tc>
          <w:tcPr>
            <w:tcW w:w="904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10.59*</w:t>
            </w:r>
          </w:p>
        </w:tc>
        <w:tc>
          <w:tcPr>
            <w:tcW w:w="10500" w:type="dxa"/>
            <w:vAlign w:val="bottom"/>
            <w:gridSpan w:val="30"/>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Fourth Amendment to the comScore, Inc. Amended and Restated 2018 Equity and Incentive Compensation Plan (incorporated by reference</w:t>
              </w:r>
            </w:hyperlink>
          </w:p>
        </w:tc>
      </w:tr>
      <w:tr>
        <w:trPr>
          <w:trHeight w:val="155"/>
        </w:trPr>
        <w:tc>
          <w:tcPr>
            <w:tcW w:w="1000" w:type="dxa"/>
            <w:vAlign w:val="bottom"/>
          </w:tcPr>
          <w:p>
            <w:pPr>
              <w:spacing w:after="0"/>
              <w:rPr>
                <w:sz w:val="13"/>
                <w:szCs w:val="13"/>
                <w:color w:val="auto"/>
              </w:rPr>
            </w:pPr>
          </w:p>
        </w:tc>
        <w:tc>
          <w:tcPr>
            <w:tcW w:w="103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to Exhibit 10.2 to the Registrant's Quarterly Report on Form 10-Q for the period ended June 30, 2024, filed August 9, 2024) (File No. 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5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91">
              <w:r>
                <w:rPr>
                  <w:rFonts w:ascii="Times New Roman" w:cs="Times New Roman" w:eastAsia="Times New Roman" w:hAnsi="Times New Roman"/>
                  <w:sz w:val="18"/>
                  <w:szCs w:val="18"/>
                  <w:color w:val="0000FF"/>
                  <w:w w:val="97"/>
                </w:rPr>
                <w:t>33520)</w:t>
              </w:r>
            </w:hyperlink>
          </w:p>
        </w:tc>
        <w:tc>
          <w:tcPr>
            <w:tcW w:w="3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42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1860" w:type="dxa"/>
            <w:vAlign w:val="bottom"/>
            <w:tcBorders>
              <w:top w:val="single" w:sz="8" w:color="0000FF"/>
            </w:tcBorders>
          </w:tcPr>
          <w:p>
            <w:pPr>
              <w:spacing w:after="0"/>
              <w:rPr>
                <w:sz w:val="14"/>
                <w:szCs w:val="14"/>
                <w:color w:val="auto"/>
              </w:rPr>
            </w:pPr>
          </w:p>
        </w:tc>
        <w:tc>
          <w:tcPr>
            <w:tcW w:w="22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10.60*</w:t>
            </w:r>
          </w:p>
        </w:tc>
        <w:tc>
          <w:tcPr>
            <w:tcW w:w="10500" w:type="dxa"/>
            <w:vAlign w:val="bottom"/>
            <w:gridSpan w:val="30"/>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comScore, Inc. Cash Incentive Plan (incorporated by reference to Exhibit 10.1 to the Registrant's Current Report on Form 8-K, filed May 24,</w:t>
              </w:r>
            </w:hyperlink>
          </w:p>
        </w:tc>
      </w:tr>
      <w:tr>
        <w:trPr>
          <w:trHeight w:val="155"/>
        </w:trPr>
        <w:tc>
          <w:tcPr>
            <w:tcW w:w="1000" w:type="dxa"/>
            <w:vAlign w:val="bottom"/>
          </w:tcPr>
          <w:p>
            <w:pPr>
              <w:spacing w:after="0"/>
              <w:rPr>
                <w:sz w:val="13"/>
                <w:szCs w:val="13"/>
                <w:color w:val="auto"/>
              </w:rPr>
            </w:pPr>
          </w:p>
        </w:tc>
        <w:tc>
          <w:tcPr>
            <w:tcW w:w="104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2024) (File No. 001-33520)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10.61*</w:t>
            </w:r>
          </w:p>
        </w:tc>
        <w:tc>
          <w:tcPr>
            <w:tcW w:w="10500" w:type="dxa"/>
            <w:vAlign w:val="bottom"/>
            <w:gridSpan w:val="30"/>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Form of comScore, Inc. Cash Incentive Plan Participation Agreement for Employees (incorporated by reference to Exhibit 10.4 to the</w:t>
              </w:r>
            </w:hyperlink>
          </w:p>
        </w:tc>
      </w:tr>
      <w:tr>
        <w:trPr>
          <w:trHeight w:val="156"/>
        </w:trPr>
        <w:tc>
          <w:tcPr>
            <w:tcW w:w="1000" w:type="dxa"/>
            <w:vAlign w:val="bottom"/>
          </w:tcPr>
          <w:p>
            <w:pPr>
              <w:spacing w:after="0"/>
              <w:rPr>
                <w:sz w:val="13"/>
                <w:szCs w:val="13"/>
                <w:color w:val="auto"/>
              </w:rPr>
            </w:pPr>
          </w:p>
        </w:tc>
        <w:tc>
          <w:tcPr>
            <w:tcW w:w="103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Registrant's Quarterly Report on Form 10-Q for the period ended June 30, 2024, filed August 9, 2024) (File No. 001-33520)</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10500" w:type="dxa"/>
            <w:vAlign w:val="bottom"/>
            <w:gridSpan w:val="30"/>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Change of Control Agreement, effective as of March 27, 2024, by and between comScore, Inc. and Steve Bagdasarian (incorporated by</w:t>
              </w:r>
            </w:hyperlink>
          </w:p>
        </w:tc>
      </w:tr>
      <w:tr>
        <w:trPr>
          <w:trHeight w:val="156"/>
        </w:trPr>
        <w:tc>
          <w:tcPr>
            <w:tcW w:w="1000" w:type="dxa"/>
            <w:vAlign w:val="bottom"/>
          </w:tcPr>
          <w:p>
            <w:pPr>
              <w:spacing w:after="0"/>
              <w:rPr>
                <w:sz w:val="13"/>
                <w:szCs w:val="13"/>
                <w:color w:val="auto"/>
              </w:rPr>
            </w:pPr>
          </w:p>
        </w:tc>
        <w:tc>
          <w:tcPr>
            <w:tcW w:w="103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reference to Exhibit 10.1 to the Registrant's Quarterly Report on Form 10-Q for the period ended March 31, 2024), filed May 10, 2024 (File</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16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No. 001-33520)</w:t>
              </w:r>
            </w:hyperlink>
          </w:p>
        </w:tc>
        <w:tc>
          <w:tcPr>
            <w:tcW w:w="7780" w:type="dxa"/>
            <w:vAlign w:val="bottom"/>
            <w:tcBorders>
              <w:top w:val="single" w:sz="8" w:color="0000FF"/>
            </w:tcBorders>
            <w:gridSpan w:val="7"/>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gridSpan w:val="2"/>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10.63*</w:t>
            </w:r>
          </w:p>
        </w:tc>
        <w:tc>
          <w:tcPr>
            <w:tcW w:w="10500" w:type="dxa"/>
            <w:vAlign w:val="bottom"/>
            <w:gridSpan w:val="30"/>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Severance Agreement, effective as of March 27, 2024, by and between comScore, Inc. and Steve Bagdasarian (incorporated by reference to</w:t>
              </w:r>
            </w:hyperlink>
          </w:p>
        </w:tc>
      </w:tr>
      <w:tr>
        <w:trPr>
          <w:trHeight w:val="156"/>
        </w:trPr>
        <w:tc>
          <w:tcPr>
            <w:tcW w:w="1000" w:type="dxa"/>
            <w:vAlign w:val="bottom"/>
          </w:tcPr>
          <w:p>
            <w:pPr>
              <w:spacing w:after="0"/>
              <w:rPr>
                <w:sz w:val="13"/>
                <w:szCs w:val="13"/>
                <w:color w:val="auto"/>
              </w:rPr>
            </w:pPr>
          </w:p>
        </w:tc>
        <w:tc>
          <w:tcPr>
            <w:tcW w:w="104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Exhibit 10.2 to the Registrant's Quarterly Report on Form 10-Q for the period ended March 31, 2024, filed May 10, 2024) (File No. 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5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95">
              <w:r>
                <w:rPr>
                  <w:rFonts w:ascii="Times New Roman" w:cs="Times New Roman" w:eastAsia="Times New Roman" w:hAnsi="Times New Roman"/>
                  <w:sz w:val="18"/>
                  <w:szCs w:val="18"/>
                  <w:color w:val="0000FF"/>
                  <w:w w:val="97"/>
                </w:rPr>
                <w:t>33520)</w:t>
              </w:r>
            </w:hyperlink>
          </w:p>
        </w:tc>
        <w:tc>
          <w:tcPr>
            <w:tcW w:w="3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42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1860" w:type="dxa"/>
            <w:vAlign w:val="bottom"/>
            <w:tcBorders>
              <w:top w:val="single" w:sz="8" w:color="0000FF"/>
            </w:tcBorders>
          </w:tcPr>
          <w:p>
            <w:pPr>
              <w:spacing w:after="0"/>
              <w:rPr>
                <w:sz w:val="14"/>
                <w:szCs w:val="14"/>
                <w:color w:val="auto"/>
              </w:rPr>
            </w:pPr>
          </w:p>
        </w:tc>
        <w:tc>
          <w:tcPr>
            <w:tcW w:w="22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10.64</w:t>
            </w:r>
          </w:p>
        </w:tc>
        <w:tc>
          <w:tcPr>
            <w:tcW w:w="10500" w:type="dxa"/>
            <w:vAlign w:val="bottom"/>
            <w:gridSpan w:val="30"/>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Financing Agreement, dated as of December 31, 2024, by and among comScore, Inc. (as administrative borrower), certain subsidiaries of the</w:t>
              </w:r>
            </w:hyperlink>
          </w:p>
        </w:tc>
      </w:tr>
      <w:tr>
        <w:trPr>
          <w:trHeight w:val="156"/>
        </w:trPr>
        <w:tc>
          <w:tcPr>
            <w:tcW w:w="100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administrative borrower (as guarantors), Blue Torch Finance LLC (as administrative agent and collateral agent) and the lenders party thereto</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40" w:type="dxa"/>
            <w:vAlign w:val="bottom"/>
            <w:tcBorders>
              <w:bottom w:val="single" w:sz="8" w:color="0000FF"/>
            </w:tcBorders>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9740" w:type="dxa"/>
            <w:vAlign w:val="bottom"/>
            <w:tcBorders>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(incorporated by reference to Exhibit 10.2 to the Registrant's Current Report on Form 8-K, filed January 7, 2025) (File No. 001-33520)</w:t>
              </w:r>
            </w:hyperlink>
          </w:p>
        </w:tc>
        <w:tc>
          <w:tcPr>
            <w:tcW w:w="680" w:type="dxa"/>
            <w:vAlign w:val="bottom"/>
            <w:gridSpan w:val="1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10.65</w:t>
            </w:r>
          </w:p>
        </w:tc>
        <w:tc>
          <w:tcPr>
            <w:tcW w:w="10500" w:type="dxa"/>
            <w:vAlign w:val="bottom"/>
            <w:gridSpan w:val="30"/>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Pledge and Security Agreement, dated as of December 31, 2024, by and among comScore, Inc. and certain subsidiaries of comScore, Inc. (as</w:t>
              </w:r>
            </w:hyperlink>
          </w:p>
        </w:tc>
      </w:tr>
      <w:tr>
        <w:trPr>
          <w:trHeight w:val="155"/>
        </w:trPr>
        <w:tc>
          <w:tcPr>
            <w:tcW w:w="1000" w:type="dxa"/>
            <w:vAlign w:val="bottom"/>
          </w:tcPr>
          <w:p>
            <w:pPr>
              <w:spacing w:after="0"/>
              <w:rPr>
                <w:sz w:val="13"/>
                <w:szCs w:val="13"/>
                <w:color w:val="auto"/>
              </w:rPr>
            </w:pPr>
          </w:p>
        </w:tc>
        <w:tc>
          <w:tcPr>
            <w:tcW w:w="1024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guarantors) and Blue Torch Finance LLC (as collateral agent) (incorporated by reference to Exhibit 10.3 to the Registrant's Current Report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0" w:type="dxa"/>
            <w:vAlign w:val="bottom"/>
            <w:tcBorders>
              <w:bottom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0480" w:type="dxa"/>
            <w:vAlign w:val="bottom"/>
            <w:gridSpan w:val="29"/>
          </w:tcPr>
          <w:p>
            <w:pPr>
              <w:spacing w:after="0" w:line="169"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Form 8-K, filed January 7, 2025) (File No. 001-33520)</w:t>
              </w:r>
            </w:hyperlink>
          </w:p>
        </w:tc>
        <w:tc>
          <w:tcPr>
            <w:tcW w:w="2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67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comScore, Inc. Insider Trading Policy, as amended and restated effective September 26, 2024</w:t>
            </w:r>
          </w:p>
        </w:tc>
        <w:tc>
          <w:tcPr>
            <w:tcW w:w="3760" w:type="dxa"/>
            <w:vAlign w:val="bottom"/>
            <w:gridSpan w:val="21"/>
          </w:tcPr>
          <w:p>
            <w:pPr>
              <w:spacing w:after="0"/>
              <w:rPr>
                <w:sz w:val="22"/>
                <w:szCs w:val="22"/>
                <w:color w:val="auto"/>
              </w:rPr>
            </w:pPr>
          </w:p>
        </w:tc>
      </w:tr>
      <w:tr>
        <w:trPr>
          <w:trHeight w:val="26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5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List of Subsidiaries</w:t>
            </w:r>
          </w:p>
        </w:tc>
      </w:tr>
      <w:tr>
        <w:trPr>
          <w:trHeight w:val="20"/>
        </w:trPr>
        <w:tc>
          <w:tcPr>
            <w:tcW w:w="10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5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Consent of Deloitte &amp; Touche LLP</w:t>
            </w:r>
          </w:p>
        </w:tc>
        <w:tc>
          <w:tcPr>
            <w:tcW w:w="7960" w:type="dxa"/>
            <w:vAlign w:val="bottom"/>
            <w:gridSpan w:val="24"/>
          </w:tcPr>
          <w:p>
            <w:pPr>
              <w:spacing w:after="0"/>
              <w:rPr>
                <w:sz w:val="22"/>
                <w:szCs w:val="22"/>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5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and Rule 15d-14(a) of the Securities Exchange Act of 1934, as</w:t>
            </w:r>
          </w:p>
        </w:tc>
      </w:tr>
      <w:tr>
        <w:trPr>
          <w:trHeight w:val="155"/>
        </w:trPr>
        <w:tc>
          <w:tcPr>
            <w:tcW w:w="1000" w:type="dxa"/>
            <w:vAlign w:val="bottom"/>
          </w:tcPr>
          <w:p>
            <w:pPr>
              <w:spacing w:after="0"/>
              <w:rPr>
                <w:sz w:val="13"/>
                <w:szCs w:val="13"/>
                <w:color w:val="auto"/>
              </w:rPr>
            </w:pPr>
          </w:p>
        </w:tc>
        <w:tc>
          <w:tcPr>
            <w:tcW w:w="1022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20" w:type="dxa"/>
            <w:vAlign w:val="bottom"/>
            <w:gridSpan w:val="6"/>
            <w:shd w:val="clear" w:color="auto" w:fill="0000FF"/>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5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and Rule 15d-14(a) of the Securities Exchange Act of 1934, as</w:t>
            </w:r>
          </w:p>
        </w:tc>
      </w:tr>
      <w:tr>
        <w:trPr>
          <w:trHeight w:val="155"/>
        </w:trPr>
        <w:tc>
          <w:tcPr>
            <w:tcW w:w="1000" w:type="dxa"/>
            <w:vAlign w:val="bottom"/>
          </w:tcPr>
          <w:p>
            <w:pPr>
              <w:spacing w:after="0"/>
              <w:rPr>
                <w:sz w:val="13"/>
                <w:szCs w:val="13"/>
                <w:color w:val="auto"/>
              </w:rPr>
            </w:pPr>
          </w:p>
        </w:tc>
        <w:tc>
          <w:tcPr>
            <w:tcW w:w="10260" w:type="dxa"/>
            <w:vAlign w:val="bottom"/>
            <w:tcBorders>
              <w:top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20" w:type="dxa"/>
            <w:vAlign w:val="bottom"/>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20" w:type="dxa"/>
            <w:vAlign w:val="bottom"/>
            <w:gridSpan w:val="6"/>
            <w:shd w:val="clear" w:color="auto" w:fill="0000FF"/>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5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r>
      <w:tr>
        <w:trPr>
          <w:trHeight w:val="155"/>
        </w:trPr>
        <w:tc>
          <w:tcPr>
            <w:tcW w:w="1000" w:type="dxa"/>
            <w:vAlign w:val="bottom"/>
          </w:tcPr>
          <w:p>
            <w:pPr>
              <w:spacing w:after="0"/>
              <w:rPr>
                <w:sz w:val="13"/>
                <w:szCs w:val="13"/>
                <w:color w:val="auto"/>
              </w:rPr>
            </w:pPr>
          </w:p>
        </w:tc>
        <w:tc>
          <w:tcPr>
            <w:tcW w:w="1028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220" w:type="dxa"/>
            <w:vAlign w:val="bottom"/>
            <w:gridSpan w:val="11"/>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38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18"/>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5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r>
      <w:tr>
        <w:trPr>
          <w:trHeight w:val="155"/>
        </w:trPr>
        <w:tc>
          <w:tcPr>
            <w:tcW w:w="1000" w:type="dxa"/>
            <w:vAlign w:val="bottom"/>
          </w:tcPr>
          <w:p>
            <w:pPr>
              <w:spacing w:after="0"/>
              <w:rPr>
                <w:sz w:val="13"/>
                <w:szCs w:val="13"/>
                <w:color w:val="auto"/>
              </w:rPr>
            </w:pPr>
          </w:p>
        </w:tc>
        <w:tc>
          <w:tcPr>
            <w:tcW w:w="10420" w:type="dxa"/>
            <w:vAlign w:val="bottom"/>
            <w:tcBorders>
              <w:top w:val="single" w:sz="8" w:color="0000FF"/>
            </w:tcBorders>
            <w:gridSpan w:val="26"/>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80" w:type="dxa"/>
            <w:vAlign w:val="bottom"/>
            <w:gridSpan w:val="4"/>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38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18"/>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0500" w:type="dxa"/>
            <w:vAlign w:val="bottom"/>
            <w:gridSpan w:val="30"/>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comScore, Inc. Clawback Policy, as amended and restated effective October 2, 2023 (incorporated by reference to Exhibit 97.1 to the</w:t>
              </w:r>
            </w:hyperlink>
          </w:p>
        </w:tc>
      </w:tr>
      <w:tr>
        <w:trPr>
          <w:trHeight w:val="156"/>
        </w:trPr>
        <w:tc>
          <w:tcPr>
            <w:tcW w:w="1000" w:type="dxa"/>
            <w:vAlign w:val="bottom"/>
          </w:tcPr>
          <w:p>
            <w:pPr>
              <w:spacing w:after="0"/>
              <w:rPr>
                <w:sz w:val="13"/>
                <w:szCs w:val="13"/>
                <w:color w:val="auto"/>
              </w:rPr>
            </w:pPr>
          </w:p>
        </w:tc>
        <w:tc>
          <w:tcPr>
            <w:tcW w:w="92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Registrant's Annual Report on Form 10-K for the period ended December 31, 2023, filed March 12, 2024) (File No. 001-33520)</w:t>
              </w:r>
            </w:hyperlink>
          </w:p>
        </w:tc>
        <w:tc>
          <w:tcPr>
            <w:tcW w:w="360" w:type="dxa"/>
            <w:vAlign w:val="bottom"/>
            <w:tcBorders>
              <w:top w:val="single" w:sz="8" w:color="0000FF"/>
            </w:tcBorders>
          </w:tcPr>
          <w:p>
            <w:pPr>
              <w:spacing w:after="0"/>
              <w:rPr>
                <w:sz w:val="13"/>
                <w:szCs w:val="13"/>
                <w:color w:val="auto"/>
              </w:rPr>
            </w:pPr>
          </w:p>
        </w:tc>
        <w:tc>
          <w:tcPr>
            <w:tcW w:w="900" w:type="dxa"/>
            <w:vAlign w:val="bottom"/>
            <w:gridSpan w:val="18"/>
          </w:tcPr>
          <w:p>
            <w:pPr>
              <w:spacing w:after="0"/>
              <w:rPr>
                <w:sz w:val="13"/>
                <w:szCs w:val="13"/>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50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r>
      <w:tr>
        <w:trPr>
          <w:trHeight w:val="234"/>
        </w:trPr>
        <w:tc>
          <w:tcPr>
            <w:tcW w:w="1000" w:type="dxa"/>
            <w:vAlign w:val="bottom"/>
          </w:tcPr>
          <w:p>
            <w:pPr>
              <w:spacing w:after="0"/>
              <w:rPr>
                <w:sz w:val="20"/>
                <w:szCs w:val="20"/>
                <w:color w:val="auto"/>
              </w:rPr>
            </w:pPr>
          </w:p>
        </w:tc>
        <w:tc>
          <w:tcPr>
            <w:tcW w:w="1050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9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50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50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50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50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50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49" w:lineRule="exact"/>
        <w:rPr>
          <w:sz w:val="20"/>
          <w:szCs w:val="20"/>
          <w:color w:val="auto"/>
        </w:rPr>
      </w:pPr>
    </w:p>
    <w:p>
      <w:pPr>
        <w:ind w:left="820" w:right="2160" w:hanging="794"/>
        <w:spacing w:after="0" w:line="328" w:lineRule="auto"/>
        <w:tabs>
          <w:tab w:leader="none" w:pos="102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iXBRL tags are embedded within the Inline XBRL document * Management contract or compensatory plan or arrangement</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Filed or furnished herewith</w:t>
      </w:r>
    </w:p>
    <w:p>
      <w:pPr>
        <w:spacing w:after="0" w:line="77" w:lineRule="exact"/>
        <w:rPr>
          <w:sz w:val="20"/>
          <w:szCs w:val="20"/>
          <w:color w:val="auto"/>
        </w:rPr>
      </w:pPr>
    </w:p>
    <w:p>
      <w:pPr>
        <w:ind w:left="820" w:right="100" w:firstLine="201"/>
        <w:spacing w:after="0" w:line="297" w:lineRule="auto"/>
        <w:rPr>
          <w:sz w:val="20"/>
          <w:szCs w:val="20"/>
          <w:color w:val="auto"/>
        </w:rPr>
      </w:pPr>
      <w:r>
        <w:rPr>
          <w:rFonts w:ascii="Times New Roman" w:cs="Times New Roman" w:eastAsia="Times New Roman" w:hAnsi="Times New Roman"/>
          <w:sz w:val="18"/>
          <w:szCs w:val="18"/>
          <w:color w:val="auto"/>
        </w:rPr>
        <w:t>Specific terms in this exhibit (indicated therein by asterisks) have been omitted because such terms are both not material and of the type that ^ the Registrant treats as private and confidential.</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COM</w:t>
      </w:r>
      <w:r>
        <w:rPr>
          <w:rFonts w:ascii="Times New Roman" w:cs="Times New Roman" w:eastAsia="Times New Roman" w:hAnsi="Times New Roman"/>
          <w:sz w:val="17"/>
          <w:szCs w:val="17"/>
          <w:color w:val="auto"/>
        </w:rPr>
        <w:t>S</w:t>
      </w:r>
      <w:r>
        <w:rPr>
          <w:rFonts w:ascii="Times New Roman" w:cs="Times New Roman" w:eastAsia="Times New Roman" w:hAnsi="Times New Roman"/>
          <w:sz w:val="14"/>
          <w:szCs w:val="14"/>
          <w:color w:val="auto"/>
        </w:rPr>
        <w:t>CORE</w:t>
      </w:r>
      <w:r>
        <w:rPr>
          <w:rFonts w:ascii="Times New Roman" w:cs="Times New Roman" w:eastAsia="Times New Roman" w:hAnsi="Times New Roman"/>
          <w:sz w:val="17"/>
          <w:szCs w:val="17"/>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7"/>
          <w:szCs w:val="17"/>
          <w:color w:val="auto"/>
        </w:rPr>
        <w:t>.</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ind w:left="512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0"/>
                <w:szCs w:val="20"/>
                <w:color w:val="auto"/>
              </w:rPr>
            </w:pPr>
          </w:p>
        </w:tc>
        <w:tc>
          <w:tcPr>
            <w:tcW w:w="568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color w:val="auto"/>
                <w:w w:val="99"/>
              </w:rPr>
              <w:t>/s/ Jonathan Carpenter</w:t>
            </w:r>
          </w:p>
        </w:tc>
      </w:tr>
      <w:tr>
        <w:trPr>
          <w:trHeight w:val="218"/>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Jonathan Carpenter</w:t>
            </w:r>
          </w:p>
        </w:tc>
        <w:tc>
          <w:tcPr>
            <w:tcW w:w="1480" w:type="dxa"/>
            <w:vAlign w:val="bottom"/>
          </w:tcPr>
          <w:p>
            <w:pPr>
              <w:spacing w:after="0"/>
              <w:rPr>
                <w:sz w:val="18"/>
                <w:szCs w:val="18"/>
                <w:color w:val="auto"/>
              </w:rPr>
            </w:pPr>
          </w:p>
        </w:tc>
      </w:tr>
      <w:tr>
        <w:trPr>
          <w:trHeight w:val="229"/>
        </w:trPr>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8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8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69"/>
        </w:trPr>
        <w:tc>
          <w:tcPr>
            <w:tcW w:w="5460" w:type="dxa"/>
            <w:vAlign w:val="bottom"/>
          </w:tcPr>
          <w:p>
            <w:pPr>
              <w:ind w:left="512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568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color w:val="auto"/>
                <w:w w:val="99"/>
              </w:rPr>
              <w:t>/s/ Mary Margaret Curry</w:t>
            </w:r>
          </w:p>
        </w:tc>
      </w:tr>
      <w:tr>
        <w:trPr>
          <w:trHeight w:val="218"/>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Mary Margaret Curry</w:t>
            </w:r>
          </w:p>
        </w:tc>
        <w:tc>
          <w:tcPr>
            <w:tcW w:w="1480" w:type="dxa"/>
            <w:vAlign w:val="bottom"/>
          </w:tcPr>
          <w:p>
            <w:pPr>
              <w:spacing w:after="0"/>
              <w:rPr>
                <w:sz w:val="18"/>
                <w:szCs w:val="18"/>
                <w:color w:val="auto"/>
              </w:rPr>
            </w:pPr>
          </w:p>
        </w:tc>
      </w:tr>
      <w:tr>
        <w:trPr>
          <w:trHeight w:val="230"/>
        </w:trPr>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8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180"/>
        </w:trPr>
        <w:tc>
          <w:tcPr>
            <w:tcW w:w="5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80" w:type="dxa"/>
            <w:vAlign w:val="bottom"/>
            <w:gridSpan w:val="2"/>
          </w:tcPr>
          <w:p>
            <w:pPr>
              <w:jc w:val="center"/>
              <w:ind w:right="1480"/>
              <w:spacing w:after="0" w:line="181" w:lineRule="exact"/>
              <w:rPr>
                <w:sz w:val="20"/>
                <w:szCs w:val="20"/>
                <w:color w:val="auto"/>
              </w:rPr>
            </w:pPr>
            <w:r>
              <w:rPr>
                <w:rFonts w:ascii="Times New Roman" w:cs="Times New Roman" w:eastAsia="Times New Roman" w:hAnsi="Times New Roman"/>
                <w:sz w:val="18"/>
                <w:szCs w:val="18"/>
                <w:color w:val="auto"/>
              </w:rPr>
              <w:t>(Principal Financial Officer and Principal Accounting</w:t>
            </w:r>
          </w:p>
        </w:tc>
      </w:tr>
      <w:tr>
        <w:trPr>
          <w:trHeight w:val="234"/>
        </w:trPr>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8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color w:val="auto"/>
                <w:w w:val="99"/>
              </w:rPr>
              <w:t>Officer)</w:t>
            </w:r>
          </w:p>
        </w:tc>
      </w:tr>
      <w:tr>
        <w:trPr>
          <w:trHeight w:val="31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March 6, 2025</w:t>
            </w: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648"/>
        </w:trPr>
        <w:tc>
          <w:tcPr>
            <w:tcW w:w="5460" w:type="dxa"/>
            <w:vAlign w:val="bottom"/>
          </w:tcPr>
          <w:p>
            <w:pPr>
              <w:spacing w:after="0"/>
              <w:rPr>
                <w:sz w:val="24"/>
                <w:szCs w:val="24"/>
                <w:color w:val="auto"/>
              </w:rPr>
            </w:pPr>
          </w:p>
        </w:tc>
        <w:tc>
          <w:tcPr>
            <w:tcW w:w="4300" w:type="dxa"/>
            <w:vAlign w:val="bottom"/>
            <w:gridSpan w:val="2"/>
          </w:tcPr>
          <w:p>
            <w:pPr>
              <w:jc w:val="right"/>
              <w:ind w:right="3950"/>
              <w:spacing w:after="0"/>
              <w:rPr>
                <w:sz w:val="20"/>
                <w:szCs w:val="20"/>
                <w:color w:val="auto"/>
              </w:rPr>
            </w:pPr>
            <w:r>
              <w:rPr>
                <w:rFonts w:ascii="Times New Roman" w:cs="Times New Roman" w:eastAsia="Times New Roman" w:hAnsi="Times New Roman"/>
                <w:sz w:val="18"/>
                <w:szCs w:val="18"/>
                <w:color w:val="auto"/>
              </w:rPr>
              <w:t>93</w:t>
            </w:r>
          </w:p>
        </w:tc>
        <w:tc>
          <w:tcPr>
            <w:tcW w:w="1480" w:type="dxa"/>
            <w:vAlign w:val="bottom"/>
          </w:tcPr>
          <w:p>
            <w:pPr>
              <w:spacing w:after="0"/>
              <w:rPr>
                <w:sz w:val="24"/>
                <w:szCs w:val="24"/>
                <w:color w:val="auto"/>
              </w:rPr>
            </w:pPr>
          </w:p>
        </w:tc>
      </w:tr>
      <w:tr>
        <w:trPr>
          <w:trHeight w:val="115"/>
        </w:trPr>
        <w:tc>
          <w:tcPr>
            <w:tcW w:w="5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1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3000" w:type="dxa"/>
            <w:vAlign w:val="bottom"/>
            <w:gridSpan w:val="2"/>
          </w:tcPr>
          <w:p>
            <w:pPr>
              <w:jc w:val="center"/>
              <w:ind w:right="272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680" w:type="dxa"/>
            <w:vAlign w:val="bottom"/>
            <w:gridSpan w:val="3"/>
          </w:tcPr>
          <w:p>
            <w:pPr>
              <w:jc w:val="center"/>
              <w:ind w:left="53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8"/>
        </w:trPr>
        <w:tc>
          <w:tcPr>
            <w:tcW w:w="2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Jonathan Carpenter</w:t>
            </w:r>
          </w:p>
        </w:tc>
        <w:tc>
          <w:tcPr>
            <w:tcW w:w="56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68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rPr>
              <w:t>March 6, 2025</w:t>
            </w:r>
          </w:p>
        </w:tc>
      </w:tr>
      <w:tr>
        <w:trPr>
          <w:trHeight w:val="228"/>
        </w:trPr>
        <w:tc>
          <w:tcPr>
            <w:tcW w:w="2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Jonathan Carpenter</w:t>
            </w:r>
          </w:p>
        </w:tc>
        <w:tc>
          <w:tcPr>
            <w:tcW w:w="56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9"/>
        </w:trPr>
        <w:tc>
          <w:tcPr>
            <w:tcW w:w="2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Mary Margaret Curry</w:t>
            </w:r>
          </w:p>
        </w:tc>
        <w:tc>
          <w:tcPr>
            <w:tcW w:w="56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Chief Financial Officer and Treasurer</w:t>
            </w:r>
          </w:p>
        </w:tc>
        <w:tc>
          <w:tcPr>
            <w:tcW w:w="168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rPr>
              <w:t>March 6, 2025</w:t>
            </w:r>
          </w:p>
        </w:tc>
      </w:tr>
      <w:tr>
        <w:trPr>
          <w:trHeight w:val="228"/>
        </w:trPr>
        <w:tc>
          <w:tcPr>
            <w:tcW w:w="2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Mary Margaret Curry</w:t>
            </w:r>
          </w:p>
        </w:tc>
        <w:tc>
          <w:tcPr>
            <w:tcW w:w="56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9"/>
        </w:trPr>
        <w:tc>
          <w:tcPr>
            <w:tcW w:w="2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Nana Banerjee</w:t>
            </w:r>
          </w:p>
        </w:tc>
        <w:tc>
          <w:tcPr>
            <w:tcW w:w="56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rPr>
              <w:t>March 6, 2025</w:t>
            </w:r>
          </w:p>
        </w:tc>
      </w:tr>
      <w:tr>
        <w:trPr>
          <w:trHeight w:val="228"/>
        </w:trPr>
        <w:tc>
          <w:tcPr>
            <w:tcW w:w="2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Nana Banerjee</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9"/>
        </w:trPr>
        <w:tc>
          <w:tcPr>
            <w:tcW w:w="2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Itzhak Fisher</w:t>
            </w:r>
          </w:p>
        </w:tc>
        <w:tc>
          <w:tcPr>
            <w:tcW w:w="56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rPr>
              <w:t>March 6, 2025</w:t>
            </w:r>
          </w:p>
        </w:tc>
      </w:tr>
      <w:tr>
        <w:trPr>
          <w:trHeight w:val="228"/>
        </w:trPr>
        <w:tc>
          <w:tcPr>
            <w:tcW w:w="2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Itzhak Fisher</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9"/>
        </w:trPr>
        <w:tc>
          <w:tcPr>
            <w:tcW w:w="2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Leslie Gillin</w:t>
            </w:r>
          </w:p>
        </w:tc>
        <w:tc>
          <w:tcPr>
            <w:tcW w:w="56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rPr>
              <w:t>March 6, 2025</w:t>
            </w:r>
          </w:p>
        </w:tc>
      </w:tr>
      <w:tr>
        <w:trPr>
          <w:trHeight w:val="228"/>
        </w:trPr>
        <w:tc>
          <w:tcPr>
            <w:tcW w:w="2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Leslie Gillin</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9"/>
        </w:trPr>
        <w:tc>
          <w:tcPr>
            <w:tcW w:w="2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David Kline</w:t>
            </w:r>
          </w:p>
        </w:tc>
        <w:tc>
          <w:tcPr>
            <w:tcW w:w="56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rPr>
              <w:t>March 6, 2025</w:t>
            </w:r>
          </w:p>
        </w:tc>
      </w:tr>
      <w:tr>
        <w:trPr>
          <w:trHeight w:val="228"/>
        </w:trPr>
        <w:tc>
          <w:tcPr>
            <w:tcW w:w="2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David Kline</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9"/>
        </w:trPr>
        <w:tc>
          <w:tcPr>
            <w:tcW w:w="2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William P. Livek</w:t>
            </w:r>
          </w:p>
        </w:tc>
        <w:tc>
          <w:tcPr>
            <w:tcW w:w="56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rPr>
              <w:t>March 6, 2025</w:t>
            </w:r>
          </w:p>
        </w:tc>
      </w:tr>
      <w:tr>
        <w:trPr>
          <w:trHeight w:val="228"/>
        </w:trPr>
        <w:tc>
          <w:tcPr>
            <w:tcW w:w="2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William P. Livek</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9"/>
        </w:trPr>
        <w:tc>
          <w:tcPr>
            <w:tcW w:w="2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Matthew McLaughlin</w:t>
            </w:r>
          </w:p>
        </w:tc>
        <w:tc>
          <w:tcPr>
            <w:tcW w:w="56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rPr>
              <w:t>March 6, 2025</w:t>
            </w:r>
          </w:p>
        </w:tc>
      </w:tr>
      <w:tr>
        <w:trPr>
          <w:trHeight w:val="228"/>
        </w:trPr>
        <w:tc>
          <w:tcPr>
            <w:tcW w:w="2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Matthew McLaughlin</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9"/>
        </w:trPr>
        <w:tc>
          <w:tcPr>
            <w:tcW w:w="2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Jeffrey Murphy</w:t>
            </w:r>
          </w:p>
        </w:tc>
        <w:tc>
          <w:tcPr>
            <w:tcW w:w="56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rPr>
              <w:t>March 6, 2025</w:t>
            </w:r>
          </w:p>
        </w:tc>
      </w:tr>
      <w:tr>
        <w:trPr>
          <w:trHeight w:val="228"/>
        </w:trPr>
        <w:tc>
          <w:tcPr>
            <w:tcW w:w="2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Jeffrey Murphy</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9"/>
        </w:trPr>
        <w:tc>
          <w:tcPr>
            <w:tcW w:w="2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Marty Patterson</w:t>
            </w:r>
          </w:p>
        </w:tc>
        <w:tc>
          <w:tcPr>
            <w:tcW w:w="56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rPr>
              <w:t>March 6, 2025</w:t>
            </w:r>
          </w:p>
        </w:tc>
      </w:tr>
      <w:tr>
        <w:trPr>
          <w:trHeight w:val="228"/>
        </w:trPr>
        <w:tc>
          <w:tcPr>
            <w:tcW w:w="2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Marty Patterson</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9"/>
        </w:trPr>
        <w:tc>
          <w:tcPr>
            <w:tcW w:w="2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Brian Wendling</w:t>
            </w:r>
          </w:p>
        </w:tc>
        <w:tc>
          <w:tcPr>
            <w:tcW w:w="56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rPr>
              <w:t>March 6, 2025</w:t>
            </w:r>
          </w:p>
        </w:tc>
      </w:tr>
      <w:tr>
        <w:trPr>
          <w:trHeight w:val="228"/>
        </w:trPr>
        <w:tc>
          <w:tcPr>
            <w:tcW w:w="2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Brian Wendling</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w:t>
      </w:r>
      <w:r>
        <w:rPr>
          <w:rFonts w:ascii="Times New Roman" w:cs="Times New Roman" w:eastAsia="Times New Roman" w:hAnsi="Times New Roman"/>
          <w:sz w:val="17"/>
          <w:szCs w:val="17"/>
          <w:u w:val="single" w:color="auto"/>
          <w:color w:val="0019FF"/>
        </w:rPr>
        <w:t>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4893945</wp:posOffset>
            </wp:positionV>
            <wp:extent cx="5863590" cy="9772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5">
                      <a:extLst>
                        <a:ext uri="{28A0092B-C50C-407E-A947-70E740481C1C}"/>
                      </a:extLst>
                    </a:blip>
                    <a:srcRect/>
                    <a:stretch>
                      <a:fillRect/>
                    </a:stretch>
                  </pic:blipFill>
                  <pic:spPr bwMode="auto">
                    <a:xfrm>
                      <a:off x="0" y="0"/>
                      <a:ext cx="5863590" cy="97726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2"/>
          <w:szCs w:val="22"/>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SECURITIES</w:t>
      </w:r>
    </w:p>
    <w:p>
      <w:pPr>
        <w:spacing w:after="0" w:line="18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The following is a summary of the material terms of our securities registered under Section 12 of the Securities Exchange Act of 1934, as amended (the "Exchange Act"), as of December 31, 2024. The summary is subject to and qualified in its entirety by reference to our amended and restated certificate of incorporation and bylaws, each of which is incorporated by reference as an exhibit to the Annual Report on Form 10-K of which this exhibit is a part. The following also summarizes certain provisions of the Delaware General Corporation Law (the "DGCL") and is subject to and qualified by reference to the DGCL.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8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Our authorized capital stock consists of 13,750,000 shares of common stock, par value $0.001 per share, and 105,000,000 shares of preferred stock, par value $0.001 per share. Our Board of Directors ("Board") may establish the rights and preferences of the preferred stock from time to time. As of December 31, 2024, there were 4,890,575 shares of common stock issued and outstanding, held of record by 110 stockholders, although we believe that there may be a significantly larger number of beneficial owners of our common stock. We derived the number of stockholders by reviewing the listing of outstanding common stock recorded by our transfer agent as of December 31, 2024.</w:t>
      </w:r>
    </w:p>
    <w:p>
      <w:pPr>
        <w:spacing w:after="0" w:line="15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Out of the preferred stock, as of December 31, 2024, 100,000,000 shares have been designated Series B Convertible Preferred Stock, of which 95,784,903 shares were outstanding. The Series B Convertible Preferred Stock is convertible into common stock at the option of its holders on a 1-for-20 basis (one share of common stock for every 20 shares of Series B Convertible Preferred Stock), subject to adjustment for accrued dividends and other items.</w:t>
      </w:r>
    </w:p>
    <w:p>
      <w:pPr>
        <w:spacing w:after="0" w:line="4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The following is a summary of the material provisions of the common stock and preferred stock provided for in our certificate of incorporation and bylaws. For additional detail about our capital stock, please refer to our certificate of incorporation and bylaws, each as amended, each of which is incorporated by reference as an exhibit to the Annual Report on Form 10-K of which this exhibit is a part.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18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Each holder of our common stock is entitled to one vote for each share on all matters to be voted upon by the stockholders, and there are no cumulative rights. Subject to any preferential rights of any outstanding preferred stock, holders of our common stock are entitled to receive ratably the dividends, if any, as may be declared from time to time by the Board out of funds legally available therefor. If there is a liquidation, dissolution or winding up of our company, holders of our common stock would be entitled to share in our assets remaining after the payment of liabilities and any preferential rights of any outstanding preferred stock.</w:t>
      </w:r>
    </w:p>
    <w:p>
      <w:pPr>
        <w:spacing w:after="0" w:line="15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In all matters, other than the election of directors and except as otherwise required by law or the provisions of our certificate of incorporation or bylaws, the affirmative vote of the majority of shares present or represented by proxy at a meeting and entitled to vote on the subject matter shall be the act of the stockholders. Directors are elected by a plurality of the votes of the shares present in person or represented by proxy and entitled to vote on the election of directors.</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Holders of our common stock have no preemptive or conversion rights or other subscription rights, and there are no redemption or sinking fund provisions applicable to the common stock. The outstanding shares of common stock are fully paid and non-assessable. The rights, preferences and privileges of the holders of our common stock are subject to, and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94"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2"/>
          <w:szCs w:val="22"/>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adversely affected by, the rights of the holders of shares of any series of preferred stock, including those currently outstanding and those that we may designate and issue in the future.</w:t>
      </w:r>
    </w:p>
    <w:p>
      <w:pPr>
        <w:spacing w:after="0" w:line="150"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22"/>
          <w:szCs w:val="22"/>
          <w:color w:val="auto"/>
        </w:rPr>
        <w:t>Our common stock is listed on the Nasdaq Global Select Market under the symbol "SCOR." The transfer agent and registrar for the common stock is Equiniti Trust Company, LLC. Its address is 6201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Avenue, Brooklyn, NY 11219, and its telephone number is (800) 468-9716.</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18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Under the terms of our amended and restated certificate of incorporation, our Board is authorized to issue shares of preferred stock in one or more series, from time to time, without stockholder approval and to establish the number of shares to be included in each such series. Our Board has the discretion to determine the designation, powers, preferences, privileges, rights, qualifications, limitations and restrictions, including voting rights, redemption privileges and liquidation preferences, of each series of preferred stock. The rights, preferences, privileges and restrictions of the preferred stock of each series will be fixed by the certificate of designation relating to that series.</w:t>
      </w:r>
    </w:p>
    <w:p>
      <w:pPr>
        <w:spacing w:after="0" w:line="4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The issuance of preferred stock will affect, and may adversely affect, the rights of holders of common stock. It is not possible to state the actual effect of the future issuance of any shares of preferred stock on the rights of holders of common stock until the Board determines the specific rights attached to that preferred stock. The effects of issuing preferred stock could include one or more of the following:</w:t>
      </w:r>
    </w:p>
    <w:p>
      <w:pPr>
        <w:spacing w:after="0" w:line="31"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restricting dividends on the common stock;</w:t>
      </w:r>
    </w:p>
    <w:p>
      <w:pPr>
        <w:ind w:left="660" w:hanging="328"/>
        <w:spacing w:after="0" w:line="204" w:lineRule="auto"/>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diluting the voting power of the common stock;</w:t>
      </w:r>
    </w:p>
    <w:p>
      <w:pPr>
        <w:ind w:left="660" w:hanging="328"/>
        <w:spacing w:after="0" w:line="204" w:lineRule="auto"/>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impairing the liquidation rights of the common stock; and</w:t>
      </w:r>
    </w:p>
    <w:p>
      <w:pPr>
        <w:ind w:left="660" w:hanging="328"/>
        <w:spacing w:after="0"/>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delaying or preventing changes in control or management of us.</w:t>
      </w:r>
    </w:p>
    <w:p>
      <w:pPr>
        <w:spacing w:after="0" w:line="4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We currently have 95,784,903 outstanding shares of Series B Convertible Preferred Stock. We have no other classes of preferred stock currently designated or outstanding. Preferred stock will be fully paid and nonassessable upon issuance.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Series B Convertible Preferred Stock</w:t>
      </w:r>
    </w:p>
    <w:p>
      <w:pPr>
        <w:spacing w:after="0" w:line="18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On March 10, 2021 (the "Closing Date"), we filed a certificate of designations, which designated 82,527,609 shares of our preferred stock as Series B Convertible Preferred Stock. On June 16, 2023, we filed an amendment to the certificate of designations designating a total of 100,000,000 shares of our preferred stock as Series B Convertible Preferred Stock (inclusive of the previously designated shares). As of December 31, 2024, there were 95,784,903 shares of our Series B Convertible Preferred Stock outstanding. The Series B Convertible Preferred Stock ranks senior to our common stock with respect to dividend rights and rights on the distribution of assets on any voluntary or involuntary liquidation, dissolution or winding up of our affairs.</w:t>
      </w:r>
    </w:p>
    <w:p>
      <w:pPr>
        <w:spacing w:after="0" w:line="4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The Series B Convertible Preferred Stock has a liquidation preference equal to the higher of (i) the initial purchase price, increased by accrued dividends per share, and (ii) the amount per share of Series B Convertible Preferred Stock that a holder would have received if such holder, immediately prior to our voluntary or involuntary liquidation, dissolution or winding up of our affairs, converted such share into common stock. The holders of Series B Convertible Preferred Stock are entitled to participate in all dividends declared on the common stock on an as-converted basis and are also entitled to a cumulative dividend at the rate of 7.5% per annum, payable annually in arrears and subject to increase under certain specified circumstances ("Annual Dividends"), in each case, on the terms and subject to the conditions set forth in the certificate of designations. In addition, such holders are entitled to a one-time dividend on the Series B Convertible Preferred Stock (the "Special Dividend") equal to the highest dividend that the Board determines can be paid at that time (or a lesser amount as may be unanimously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94"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2"/>
          <w:szCs w:val="22"/>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upon by the initial selling stockholders and certain transferees), subject to the additional conditions and limitations set forth in the Amended and Restated Stockholders Agreement.</w:t>
      </w:r>
    </w:p>
    <w:p>
      <w:pPr>
        <w:spacing w:after="0" w:line="4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Subject to certain anti-dilution adjustments and customary provisions related to partial dividend periods, the Series B Convertible Preferred Stock is convertible at the option of the holders at any time into a number of shares of common stock equal to the Conversion Rate (as defined in the certificate of designations), provided that each holder will receive cash in lieu of fractional shares (if any). At any time after the fifth anniversary of the Closing Date, we may elect to convert all of the outstanding shares of Series B Convertible Preferred Stock into shares of common stock if (a) the closing sale price of the common stock was greater than 140% of the conversion price as of such time, as may be adjusted pursuant to the certificate of designations, (i) for at least 20 trading days in any period of 30 consecutive trading days immediately prior to the date of notice of mandatory conversion and (ii) on the last trading day of such 30-day period and (b) the pro rata share of an aggregate of $100,000,000 in Annual Dividends and/or Special Dividends has been paid with respect to each share of Series B Convertible Preferred Stock that was outstanding as of the Closing Date and remains outstanding.</w:t>
      </w:r>
    </w:p>
    <w:p>
      <w:pPr>
        <w:spacing w:after="0" w:line="44"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If we undergo certain change of control transactions, (a) each holder of outstanding shares of Series B Convertible Preferred Stock will have the option to require us to purchase any or all of its shares of Series B Convertible Preferred Stock at a purchase price per share of Series B Convertible Preferred Stock equal to the Liquidation Preference (as defined in the certificate of designations) of such share of Series B Convertible Preferred Stock as of the applicable date ("Change of Control Put") and (b) to the extent the holder has not exercised the Change of Control Put, we will have the right to redeem, subject to the holder's right to convert prior to such redemption, all of such holder's shares of Series B Convertible Preferred Stock, or if a holder exercises the Change of Control Put in part, the remainder of such holder's shares of Series B Convertible Preferred Stock, at a redemption price per share equal to the Liquidation Preference as of the date of redemption.</w:t>
      </w:r>
    </w:p>
    <w:p>
      <w:pPr>
        <w:spacing w:after="0" w:line="48"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The holders of shares of Series B Convertible Preferred Stock are entitled to vote as a single class with the holders of the common stock and the holders of any of our other classes or series of capital stock then entitled to vote with the common stock on all matters submitted to a vote of the holders of common stock. Each holder is entitled to the number of votes equal to the product of (i) the largest number of whole shares of common stock into which all shares of Series B Convertible Preferred Stock could be converted pursuant to the certificate of designations (except that the conversion rate for this purpose will be equal to the product of the applicable conversion factor and 0.98091271) multiplied by (ii) a fraction, the numerator of which is the number of shares of Series B Convertible Preferred Stock held by such holder and the denominator of which is the aggregate number of issued and outstanding shares of Series B Convertible Preferred Stock, in each case at and calculated as of the record date for the determination of stockholders entitled to vote or consent on such matters or, if no such record date is established, at and as of the date such vote or consent is taken or any written consent of stockholders is first executed; provided, among other things, that to the extent the Series B Convertible Preferred Stock held by any initial stockholder and certain transferees would, in the aggregate, represent voting rights with respect to more than 16.66% of the common stock (including the Series B Convertible Preferred Stock on an as-converted basis) (the "Voting Threshold"), such initial stockholder and transferees and affiliates will not be permitted to exercise the voting rights with respect to any shares of Series B Convertible Preferred Stock held by them in excess of the Voting Threshold and we will exercise the voting rights with respect to such shares of Series B Convertible Preferred Stock in excess of the Voting Threshold in a neutral manner. If a holder acquires shares of Series B Convertible Preferred Stock from another holder, the acquiring holder's Voting Threshold will be increased proportionately based on the number of shares of Series B Convertible Preferred Stock that such holder acquires and the disposing holder's Voting Threshold will be decreased proportionately based on the number of shares of Series B Convertible Preferred Stock that such holder disposes of, such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94"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2"/>
          <w:szCs w:val="22"/>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Voting Threshold of all holders of shares of Series B Convertible Preferred Stock does not exceed 49.99%.</w:t>
      </w:r>
    </w:p>
    <w:p>
      <w:pPr>
        <w:spacing w:after="0" w:line="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foregoing description of the Series B Convertible Preferred Stock does not purport to be complete and is qualified in its entirety by reference to the certificate of designations and subsequent amendments thereto, each of which is incorporated by reference as an exhibit to the Annual Report on Form 10-K of which this exhibit is a part.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Applicable Forum, Venue, and Jurisdiction</w:t>
      </w:r>
    </w:p>
    <w:p>
      <w:pPr>
        <w:spacing w:after="0" w:line="18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Our bylaws establish the Court of Chancery in the State of Delaware as the exclusive forum for any derivative action or proceeding brought by or on behalf of comScore, Inc. and its consolidated subsidiaries (the "Company"), any action asserting a breach of fiduciary duty by a director, officer or employee of the Company to the Company or its stockholders, any action asserting a claim under the DGCL, our amended and restated certificate of incorporation or bylaws, or any action asserting a claim governed by the internal affairs doctrine unless otherwise agreed to by us.</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However, the exclusive forum provision would not apply to suits brought to enforce any liability or duty created by the Securities Act of 1933, as amended,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w:t>
      </w:r>
    </w:p>
    <w:p>
      <w:pPr>
        <w:spacing w:after="0" w:line="15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Effect of Certain Provisions of our Amended and Restated Certificate of Incorporation and Bylaws and the Delaware Anti-Takeover Statute</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Delaware law and our amended and restated certificate of incorporation and bylaws contain provisions that could make the following transactions more difficult:</w:t>
      </w:r>
    </w:p>
    <w:p>
      <w:pPr>
        <w:spacing w:after="0" w:line="150"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 of us by means of a tender offer;</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 of us by means of a proxy contest or otherwise; or</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removal of our incumbent officers and directors.</w:t>
      </w:r>
    </w:p>
    <w:p>
      <w:pPr>
        <w:spacing w:after="0" w:line="179"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These provisions, summarized below, are expected to discourage coercive takeover practices and inadequate takeover bids and to promote stability in our management. These provisions are also designed to encourage persons seeking to acquire control of us to first negotiate with our Board.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Amended and Restated Certificate of Incorporation and Bylaws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amended and restated certificate of incorporation and our bylaws provide for the following:</w:t>
      </w:r>
    </w:p>
    <w:p>
      <w:pPr>
        <w:spacing w:after="0" w:line="175" w:lineRule="exact"/>
        <w:rPr>
          <w:sz w:val="20"/>
          <w:szCs w:val="20"/>
          <w:color w:val="auto"/>
        </w:rPr>
      </w:pPr>
    </w:p>
    <w:p>
      <w:pPr>
        <w:jc w:val="both"/>
        <w:ind w:left="660" w:hanging="652"/>
        <w:spacing w:after="0" w:line="221" w:lineRule="auto"/>
        <w:tabs>
          <w:tab w:leader="none" w:pos="65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Undesignated Preferred Stock</w:t>
      </w:r>
      <w:r>
        <w:rPr>
          <w:rFonts w:ascii="Times New Roman" w:cs="Times New Roman" w:eastAsia="Times New Roman" w:hAnsi="Times New Roman"/>
          <w:sz w:val="22"/>
          <w:szCs w:val="22"/>
          <w:color w:val="auto"/>
        </w:rPr>
        <w:t>. The ability to authorize undesignated preferred stock makes it possible for our Board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issue one or more series of preferred stock with voting or other rights or preferences that could impede the success of any attempt to change control of the Company. These and other provisions may have the effect of deferring hostile takeovers or delaying changes in control or management of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94"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2"/>
          <w:szCs w:val="22"/>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hanging="652"/>
        <w:spacing w:after="0" w:line="238" w:lineRule="auto"/>
        <w:tabs>
          <w:tab w:leader="none" w:pos="65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Stockholder Meetings</w:t>
      </w:r>
      <w:r>
        <w:rPr>
          <w:rFonts w:ascii="Times New Roman" w:cs="Times New Roman" w:eastAsia="Times New Roman" w:hAnsi="Times New Roman"/>
          <w:sz w:val="22"/>
          <w:szCs w:val="22"/>
          <w:color w:val="auto"/>
        </w:rPr>
        <w:t>. Our charter documents provide that a special meeting of stockholders may be called only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resolution adopted by the Board, the chairman of the Board or the chief executive officer.</w:t>
      </w:r>
    </w:p>
    <w:p>
      <w:pPr>
        <w:spacing w:after="0" w:line="146" w:lineRule="exact"/>
        <w:rPr>
          <w:rFonts w:ascii="Times New Roman" w:cs="Times New Roman" w:eastAsia="Times New Roman" w:hAnsi="Times New Roman"/>
          <w:sz w:val="22"/>
          <w:szCs w:val="22"/>
          <w:color w:val="auto"/>
        </w:rPr>
      </w:pPr>
    </w:p>
    <w:p>
      <w:pPr>
        <w:jc w:val="both"/>
        <w:ind w:left="660" w:hanging="652"/>
        <w:spacing w:after="0" w:line="227" w:lineRule="auto"/>
        <w:tabs>
          <w:tab w:leader="none" w:pos="65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Requirements for Advance Notification of Stockholder Nominations and Proposals</w:t>
      </w:r>
      <w:r>
        <w:rPr>
          <w:rFonts w:ascii="Times New Roman" w:cs="Times New Roman" w:eastAsia="Times New Roman" w:hAnsi="Times New Roman"/>
          <w:sz w:val="22"/>
          <w:szCs w:val="22"/>
          <w:color w:val="auto"/>
        </w:rPr>
        <w:t>. Our bylaws establish advance notice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procedures with respect to stockholder proposals and the nomination of candidates for election as directors, other than nominations made by or at the direction of the Board or a committee of the Board.</w:t>
      </w:r>
    </w:p>
    <w:p>
      <w:pPr>
        <w:spacing w:after="0" w:line="146" w:lineRule="exact"/>
        <w:rPr>
          <w:rFonts w:ascii="Times New Roman" w:cs="Times New Roman" w:eastAsia="Times New Roman" w:hAnsi="Times New Roman"/>
          <w:sz w:val="22"/>
          <w:szCs w:val="22"/>
          <w:color w:val="auto"/>
        </w:rPr>
      </w:pPr>
    </w:p>
    <w:p>
      <w:pPr>
        <w:jc w:val="both"/>
        <w:ind w:left="660" w:hanging="652"/>
        <w:spacing w:after="0" w:line="221" w:lineRule="auto"/>
        <w:tabs>
          <w:tab w:leader="none" w:pos="65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Board Classification</w:t>
      </w:r>
      <w:r>
        <w:rPr>
          <w:rFonts w:ascii="Times New Roman" w:cs="Times New Roman" w:eastAsia="Times New Roman" w:hAnsi="Times New Roman"/>
          <w:sz w:val="22"/>
          <w:szCs w:val="22"/>
          <w:color w:val="auto"/>
        </w:rPr>
        <w:t>. Our Board is divided into three classes. The directors in each class serve for a three-year term, one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48" w:lineRule="exact"/>
        <w:rPr>
          <w:rFonts w:ascii="Times New Roman" w:cs="Times New Roman" w:eastAsia="Times New Roman" w:hAnsi="Times New Roman"/>
          <w:sz w:val="22"/>
          <w:szCs w:val="22"/>
          <w:color w:val="auto"/>
        </w:rPr>
      </w:pPr>
    </w:p>
    <w:p>
      <w:pPr>
        <w:jc w:val="both"/>
        <w:ind w:left="660" w:hanging="652"/>
        <w:spacing w:after="0" w:line="218" w:lineRule="auto"/>
        <w:tabs>
          <w:tab w:leader="none" w:pos="65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Limits on Ability of Stockholders to Act by Written Consent</w:t>
      </w:r>
      <w:r>
        <w:rPr>
          <w:rFonts w:ascii="Times New Roman" w:cs="Times New Roman" w:eastAsia="Times New Roman" w:hAnsi="Times New Roman"/>
          <w:sz w:val="22"/>
          <w:szCs w:val="22"/>
          <w:color w:val="auto"/>
        </w:rPr>
        <w:t>. We have provided in our certificate of incorporation that our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stockholders may not act by written consent. This limit on the ability of our stockholders to act by written consent may lengthen the amount of time required to take stockholder actions. As a result, a holder controlling a majority of our capital stock would not be able to amend our bylaws or remove directors without holding a meeting of our stockholders called in accordance with our bylaws.</w:t>
      </w:r>
    </w:p>
    <w:p>
      <w:pPr>
        <w:spacing w:after="0" w:line="147" w:lineRule="exact"/>
        <w:rPr>
          <w:rFonts w:ascii="Times New Roman" w:cs="Times New Roman" w:eastAsia="Times New Roman" w:hAnsi="Times New Roman"/>
          <w:sz w:val="22"/>
          <w:szCs w:val="22"/>
          <w:color w:val="auto"/>
        </w:rPr>
      </w:pPr>
    </w:p>
    <w:p>
      <w:pPr>
        <w:jc w:val="both"/>
        <w:ind w:left="660" w:hanging="652"/>
        <w:spacing w:after="0" w:line="227" w:lineRule="auto"/>
        <w:tabs>
          <w:tab w:leader="none" w:pos="65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 of Certificate of Incorporation and Bylaws</w:t>
      </w:r>
      <w:r>
        <w:rPr>
          <w:rFonts w:ascii="Times New Roman" w:cs="Times New Roman" w:eastAsia="Times New Roman" w:hAnsi="Times New Roman"/>
          <w:sz w:val="22"/>
          <w:szCs w:val="22"/>
          <w:color w:val="auto"/>
        </w:rPr>
        <w:t>. The amendment of the above provisions of our amended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restated certificate of incorporation and bylaws requires approval by holders of at least two-thirds of our outstanding capital stock entitled to vote generally in the election of directors.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Delaware Anti-Takeover Statute</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52" w:lineRule="exact"/>
        <w:rPr>
          <w:sz w:val="20"/>
          <w:szCs w:val="20"/>
          <w:color w:val="auto"/>
        </w:rPr>
      </w:pPr>
    </w:p>
    <w:p>
      <w:pPr>
        <w:ind w:left="660" w:right="20" w:hanging="652"/>
        <w:spacing w:after="0" w:line="236" w:lineRule="auto"/>
        <w:tabs>
          <w:tab w:leader="none" w:pos="65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such date, the board of directors of the corporation approved either the business combination or the transaction that resulted in the stockholder becoming an interested stockholder;</w:t>
      </w:r>
    </w:p>
    <w:p>
      <w:pPr>
        <w:spacing w:after="0" w:line="150" w:lineRule="exact"/>
        <w:rPr>
          <w:rFonts w:ascii="Times New Roman" w:cs="Times New Roman" w:eastAsia="Times New Roman" w:hAnsi="Times New Roman"/>
          <w:sz w:val="22"/>
          <w:szCs w:val="22"/>
          <w:color w:val="auto"/>
        </w:rPr>
      </w:pPr>
    </w:p>
    <w:p>
      <w:pPr>
        <w:jc w:val="both"/>
        <w:ind w:left="660" w:hanging="652"/>
        <w:spacing w:after="0" w:line="215" w:lineRule="auto"/>
        <w:tabs>
          <w:tab w:leader="none" w:pos="65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52" w:lineRule="exact"/>
        <w:rPr>
          <w:rFonts w:ascii="Times New Roman" w:cs="Times New Roman" w:eastAsia="Times New Roman" w:hAnsi="Times New Roman"/>
          <w:sz w:val="22"/>
          <w:szCs w:val="22"/>
          <w:color w:val="auto"/>
        </w:rPr>
      </w:pPr>
    </w:p>
    <w:p>
      <w:pPr>
        <w:jc w:val="both"/>
        <w:ind w:left="660" w:hanging="652"/>
        <w:spacing w:after="0" w:line="225" w:lineRule="auto"/>
        <w:tabs>
          <w:tab w:leader="none" w:pos="65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94"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2"/>
          <w:szCs w:val="22"/>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general, Section 203 defines business combination to include the following:</w:t>
      </w:r>
    </w:p>
    <w:p>
      <w:pPr>
        <w:spacing w:after="0" w:line="179"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merger or consolidation involving the corporation and the interested stockholder;</w:t>
      </w:r>
    </w:p>
    <w:p>
      <w:pPr>
        <w:spacing w:after="0" w:line="179" w:lineRule="exact"/>
        <w:rPr>
          <w:rFonts w:ascii="Times New Roman" w:cs="Times New Roman" w:eastAsia="Times New Roman" w:hAnsi="Times New Roman"/>
          <w:sz w:val="22"/>
          <w:szCs w:val="22"/>
          <w:color w:val="auto"/>
        </w:rPr>
      </w:pPr>
    </w:p>
    <w:p>
      <w:pPr>
        <w:ind w:left="660" w:hanging="652"/>
        <w:spacing w:after="0" w:line="236" w:lineRule="auto"/>
        <w:tabs>
          <w:tab w:leader="none" w:pos="65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 lease, exchange, mortgage, transfer, pledge or other disposition of 10% or more of either the assets or outstanding stock of the corporation involving the interested stockholder;</w:t>
      </w:r>
    </w:p>
    <w:p>
      <w:pPr>
        <w:spacing w:after="0" w:line="150" w:lineRule="exact"/>
        <w:rPr>
          <w:rFonts w:ascii="Times New Roman" w:cs="Times New Roman" w:eastAsia="Times New Roman" w:hAnsi="Times New Roman"/>
          <w:sz w:val="22"/>
          <w:szCs w:val="22"/>
          <w:color w:val="auto"/>
        </w:rPr>
      </w:pPr>
    </w:p>
    <w:p>
      <w:pPr>
        <w:ind w:left="660" w:right="20" w:hanging="652"/>
        <w:spacing w:after="0" w:line="236" w:lineRule="auto"/>
        <w:tabs>
          <w:tab w:leader="none" w:pos="65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certain exceptions, any transaction that results in the issuance or transfer by the corporation of any stock of the corporation to the interested stockholder;</w:t>
      </w:r>
    </w:p>
    <w:p>
      <w:pPr>
        <w:spacing w:after="0" w:line="150" w:lineRule="exact"/>
        <w:rPr>
          <w:rFonts w:ascii="Times New Roman" w:cs="Times New Roman" w:eastAsia="Times New Roman" w:hAnsi="Times New Roman"/>
          <w:sz w:val="22"/>
          <w:szCs w:val="22"/>
          <w:color w:val="auto"/>
        </w:rPr>
      </w:pPr>
    </w:p>
    <w:p>
      <w:pPr>
        <w:ind w:left="660" w:hanging="652"/>
        <w:spacing w:after="0" w:line="236" w:lineRule="auto"/>
        <w:tabs>
          <w:tab w:leader="none" w:pos="65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involving the corporation that has the effect of increasing the proportionate share of the stock of any class or series of the corporation beneficially owned by the interested stockholder; or</w:t>
      </w:r>
    </w:p>
    <w:p>
      <w:pPr>
        <w:spacing w:after="0" w:line="150" w:lineRule="exact"/>
        <w:rPr>
          <w:rFonts w:ascii="Times New Roman" w:cs="Times New Roman" w:eastAsia="Times New Roman" w:hAnsi="Times New Roman"/>
          <w:sz w:val="22"/>
          <w:szCs w:val="22"/>
          <w:color w:val="auto"/>
        </w:rPr>
      </w:pPr>
    </w:p>
    <w:p>
      <w:pPr>
        <w:ind w:left="660" w:hanging="652"/>
        <w:spacing w:after="0" w:line="236" w:lineRule="auto"/>
        <w:tabs>
          <w:tab w:leader="none" w:pos="65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by the interested stockholder of the benefit of any loans, advances, guarantees, pledges or other financial benefits by or through the corporation.</w:t>
      </w:r>
    </w:p>
    <w:p>
      <w:pPr>
        <w:spacing w:after="0" w:line="15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In general, Section 203 defines interested stockholder as an entity or person who, together with affiliates and associates, beneficially owns, or within three years prior to the determination of interested stockholder status did own, 15% or more of the outstanding voting stock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94"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2"/>
          <w:szCs w:val="22"/>
          <w:b w:val="1"/>
          <w:bCs w:val="1"/>
          <w:color w:val="auto"/>
        </w:rPr>
        <w:t>Exhibit 10.50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SEPARATION AND GENERAL RELEASE AGREEMENT</w:t>
      </w:r>
    </w:p>
    <w:p>
      <w:pPr>
        <w:spacing w:after="0" w:line="2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auto"/>
        </w:rPr>
        <w:t>This SEPARATION AND GENERAL RELEASE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entered into by and between comScore,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David Algranati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The Company and Executive are each referred to herein individually as a “</w:t>
      </w:r>
      <w:r>
        <w:rPr>
          <w:rFonts w:ascii="Times New Roman" w:cs="Times New Roman" w:eastAsia="Times New Roman" w:hAnsi="Times New Roman"/>
          <w:sz w:val="22"/>
          <w:szCs w:val="22"/>
          <w:b w:val="1"/>
          <w:bCs w:val="1"/>
          <w:i w:val="1"/>
          <w:i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Executive and the Company are parties to that certain Severance Agreement effective as of May 28, 2019 (the “</w:t>
      </w:r>
      <w:r>
        <w:rPr>
          <w:rFonts w:ascii="Times New Roman" w:cs="Times New Roman" w:eastAsia="Times New Roman" w:hAnsi="Times New Roman"/>
          <w:sz w:val="22"/>
          <w:szCs w:val="22"/>
          <w:b w:val="1"/>
          <w:bCs w:val="1"/>
          <w:i w:val="1"/>
          <w:iCs w:val="1"/>
          <w:color w:val="auto"/>
        </w:rPr>
        <w:t>Severance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Executive’s employment with the Company will end no later than February 1, 2025 (the date that Executive’s employment with the Company ends, the “</w:t>
      </w:r>
      <w:r>
        <w:rPr>
          <w:rFonts w:ascii="Times New Roman" w:cs="Times New Roman" w:eastAsia="Times New Roman" w:hAnsi="Times New Roman"/>
          <w:sz w:val="22"/>
          <w:szCs w:val="22"/>
          <w:b w:val="1"/>
          <w:bCs w:val="1"/>
          <w:i w:val="1"/>
          <w:iCs w:val="1"/>
          <w:color w:val="auto"/>
        </w:rPr>
        <w:t>Separation Date</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subject to the terms of this Agreement, the Parties wish for Executive to be eligible to receive certain severance payments and other benefits, which payments and benefits are conditioned upon Executive’s satisfaction of the terms of this Agreement; and</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Parties wish to resolve any and all claims that Executive has or may have against the Company and any of the other Released Parties (as defined below), including any claims that Executive may have arising out of Executive’s employment or the end of such employment.</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promises set forth herein, and for other good and valuable consideration, the receipt and sufficiency of which are hereby acknowledged by the Parties, the Parties agree as follows:</w:t>
      </w:r>
    </w:p>
    <w:p>
      <w:pPr>
        <w:spacing w:after="0" w:line="154"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Separation from Employment; Deemed Resignations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56"/>
        <w:spacing w:after="0" w:line="263" w:lineRule="auto"/>
        <w:tabs>
          <w:tab w:leader="none" w:pos="129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and agree that Executive’s employment with the Company will end on the Separation Date and, as of the Separation Date, Executive will not have any further employment relationship with the Company or any other Released Party.</w:t>
      </w:r>
    </w:p>
    <w:p>
      <w:pPr>
        <w:spacing w:after="0" w:line="167"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and agree that, as of the Separation Date or such later date required by applicable law or governing documents, Executive will be deemed to have resigned (to the extent Executive held any such position): (i) as an officer of the Company and each of its affiliates, and (ii) as applicable, from the board of managers, board of directors or similar governing body of each of the Company, any of its affiliates and any other corporation, limited liability company, or any other entity in which the Company or any of its affiliates holds an equity interest or with respect to which board or similar governing body Executive serves as the designee or other representative of the Company or any of its affiliates. Executive agrees to (x) reasonably cooperate with the Company to effectuate the resignations described in the preceding sentence, and (y) complete any other actions the Company or its affiliates may reasonably require, both before and after the Separation Date, to effect such resignation(s). Executive acknowledges that the cooperation required by the immediately preceding sentence may include assisting with corporate actions of the Company and Company subsidiaries</w:t>
      </w:r>
    </w:p>
    <w:p>
      <w:pPr>
        <w:sectPr>
          <w:pgSz w:w="11900" w:h="16838" w:orient="portrait"/>
          <w:cols w:equalWidth="0" w:num="1">
            <w:col w:w="11240"/>
          </w:cols>
          <w:pgMar w:left="320" w:top="122" w:right="339" w:bottom="1440" w:gutter="0" w:footer="0" w:header="0"/>
        </w:sectPr>
      </w:pPr>
    </w:p>
    <w:bookmarkStart w:id="105" w:name="page106"/>
    <w:bookmarkEnd w:id="105"/>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(including signing documents) until all resignations set forth in this </w:t>
      </w:r>
      <w:r>
        <w:rPr>
          <w:rFonts w:ascii="Times New Roman" w:cs="Times New Roman" w:eastAsia="Times New Roman" w:hAnsi="Times New Roman"/>
          <w:sz w:val="22"/>
          <w:szCs w:val="22"/>
          <w:u w:val="single" w:color="auto"/>
          <w:color w:val="auto"/>
        </w:rPr>
        <w:t>Section 1(b)</w:t>
      </w:r>
      <w:r>
        <w:rPr>
          <w:rFonts w:ascii="Times New Roman" w:cs="Times New Roman" w:eastAsia="Times New Roman" w:hAnsi="Times New Roman"/>
          <w:sz w:val="22"/>
          <w:szCs w:val="22"/>
          <w:color w:val="auto"/>
        </w:rPr>
        <w:t xml:space="preserve"> are effectuated, it being understood that any such action taken at the Company’s direction will be subject to the terms of Executive’s Indemnification Agreement, effective as of August 23, 2022 (the “</w:t>
      </w:r>
      <w:r>
        <w:rPr>
          <w:rFonts w:ascii="Times New Roman" w:cs="Times New Roman" w:eastAsia="Times New Roman" w:hAnsi="Times New Roman"/>
          <w:sz w:val="22"/>
          <w:szCs w:val="22"/>
          <w:b w:val="1"/>
          <w:bCs w:val="1"/>
          <w:i w:val="1"/>
          <w:iCs w:val="1"/>
          <w:color w:val="auto"/>
        </w:rPr>
        <w:t>Indemnification Agreement</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firstLine="656"/>
        <w:spacing w:after="0" w:line="250" w:lineRule="auto"/>
        <w:tabs>
          <w:tab w:leader="none" w:pos="129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Between the date that Executive enters into this Agreement and the Separation Date, Executive will assist the Company in transitioning the duties of his position and will diligently perform those services reasonably requested of him by the Company, which services may include performing those duties that Executive performed in the ordinary course of his employment as Chief Innovation Officer and providing such other reasonable assistance as the Company may request from time to time.</w:t>
      </w:r>
    </w:p>
    <w:p>
      <w:pPr>
        <w:spacing w:after="0" w:line="190"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Separation Payment and Benefits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56"/>
        <w:spacing w:after="0" w:line="268" w:lineRule="auto"/>
        <w:tabs>
          <w:tab w:leader="none" w:pos="1293"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Provided that Executive (1) does not resign from employment with the Company or have his employment terminated by the Company for Cause (as defined in the Severance Agreement), in each case prior to February 1, 2025, (2) honors Executive’s commitments as set forth herein, and (3) timely signs and returns the Confirming Release (as defined below), as described in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below (and does not exercise his revocation right, as described in the Confirming Release), then:</w:t>
      </w:r>
    </w:p>
    <w:p>
      <w:pPr>
        <w:spacing w:after="0" w:line="163" w:lineRule="exact"/>
        <w:rPr>
          <w:rFonts w:ascii="Times New Roman" w:cs="Times New Roman" w:eastAsia="Times New Roman" w:hAnsi="Times New Roman"/>
          <w:sz w:val="21"/>
          <w:szCs w:val="21"/>
          <w:color w:val="auto"/>
        </w:rPr>
      </w:pPr>
    </w:p>
    <w:p>
      <w:pPr>
        <w:jc w:val="both"/>
        <w:ind w:left="660" w:firstLine="644"/>
        <w:spacing w:after="0" w:line="263" w:lineRule="auto"/>
        <w:tabs>
          <w:tab w:leader="none" w:pos="1944"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provide Executive with a total severance payment of seven hundred thousand fifteen dollars and no cents ($715,000), less applicable tax withholdings (the “</w:t>
      </w:r>
      <w:r>
        <w:rPr>
          <w:rFonts w:ascii="Times New Roman" w:cs="Times New Roman" w:eastAsia="Times New Roman" w:hAnsi="Times New Roman"/>
          <w:sz w:val="21"/>
          <w:szCs w:val="21"/>
          <w:b w:val="1"/>
          <w:bCs w:val="1"/>
          <w:i w:val="1"/>
          <w:iCs w:val="1"/>
          <w:color w:val="auto"/>
        </w:rPr>
        <w:t>Severance Payment</w:t>
      </w:r>
      <w:r>
        <w:rPr>
          <w:rFonts w:ascii="Times New Roman" w:cs="Times New Roman" w:eastAsia="Times New Roman" w:hAnsi="Times New Roman"/>
          <w:sz w:val="21"/>
          <w:szCs w:val="21"/>
          <w:color w:val="auto"/>
        </w:rPr>
        <w:t xml:space="preserve">”), which Severance Payment shall be paid in substantially equal installments on the Company’s regular payroll dates between the Separation Date and the date that is twelve (12) months following the Separation Date;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first installment shall be paid on the Company’s first payroll date that comes after the date that the Confirming Release has been timely signed and returned to the Company by Executive and the revocation period described in the Confirming Release has expired without Executive having exercised his revocation right (the date of such first payment, the “</w:t>
      </w:r>
      <w:r>
        <w:rPr>
          <w:rFonts w:ascii="Times New Roman" w:cs="Times New Roman" w:eastAsia="Times New Roman" w:hAnsi="Times New Roman"/>
          <w:sz w:val="21"/>
          <w:szCs w:val="21"/>
          <w:b w:val="1"/>
          <w:bCs w:val="1"/>
          <w:i w:val="1"/>
          <w:iCs w:val="1"/>
          <w:color w:val="auto"/>
        </w:rPr>
        <w:t>First Installment Date</w:t>
      </w:r>
      <w:r>
        <w:rPr>
          <w:rFonts w:ascii="Times New Roman" w:cs="Times New Roman" w:eastAsia="Times New Roman" w:hAnsi="Times New Roman"/>
          <w:sz w:val="21"/>
          <w:szCs w:val="21"/>
          <w:color w:val="auto"/>
        </w:rPr>
        <w:t>”), and such first installment shall include (without interest) the number of installments of the Severance Payment that Executive would have received between the Separation Date and the First Installment Date had there been no delay in payment.</w:t>
      </w:r>
    </w:p>
    <w:p>
      <w:pPr>
        <w:spacing w:after="0" w:line="169" w:lineRule="exact"/>
        <w:rPr>
          <w:rFonts w:ascii="Times New Roman" w:cs="Times New Roman" w:eastAsia="Times New Roman" w:hAnsi="Times New Roman"/>
          <w:sz w:val="21"/>
          <w:szCs w:val="21"/>
          <w:color w:val="auto"/>
        </w:rPr>
      </w:pPr>
    </w:p>
    <w:p>
      <w:pPr>
        <w:jc w:val="both"/>
        <w:ind w:left="660" w:firstLine="644"/>
        <w:spacing w:after="0" w:line="249" w:lineRule="auto"/>
        <w:tabs>
          <w:tab w:leader="none" w:pos="195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pay Executive a lump sum cash amount equal to the full-year short-term incentive award that Executive would have earned had Executive remained employed by the Company through the end of the 2025 calendar year based on the degree of satisfaction of the applicable performance objectives by the executive team as a whole, as determined in good faith by the Committee (as defined in the Severance Agreement) (except that any individual subjective performance objectives will be deemed achieved at the target level),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a fraction, the numerator of which is the number of days in 2025 from January 1, 2025 through the Separation Date and the denominator of which is 365 (the “</w:t>
      </w:r>
      <w:r>
        <w:rPr>
          <w:rFonts w:ascii="Times New Roman" w:cs="Times New Roman" w:eastAsia="Times New Roman" w:hAnsi="Times New Roman"/>
          <w:sz w:val="22"/>
          <w:szCs w:val="22"/>
          <w:b w:val="1"/>
          <w:bCs w:val="1"/>
          <w:i w:val="1"/>
          <w:iCs w:val="1"/>
          <w:color w:val="auto"/>
        </w:rPr>
        <w:t>2025 Bonus</w:t>
      </w:r>
      <w:r>
        <w:rPr>
          <w:rFonts w:ascii="Times New Roman" w:cs="Times New Roman" w:eastAsia="Times New Roman" w:hAnsi="Times New Roman"/>
          <w:sz w:val="22"/>
          <w:szCs w:val="22"/>
          <w:color w:val="auto"/>
        </w:rPr>
        <w:t>”), which 2025 Bonus, if any, shall be paid, less applicable tax withholdings, at the time the Company pays short-term incentive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awards to senior executives of the Company for the 2025 calendar year, but in no event later than March 15, 2026.</w:t>
      </w:r>
    </w:p>
    <w:p>
      <w:pPr>
        <w:spacing w:after="0" w:line="220" w:lineRule="exact"/>
        <w:rPr>
          <w:sz w:val="20"/>
          <w:szCs w:val="20"/>
          <w:color w:val="auto"/>
        </w:rPr>
      </w:pPr>
    </w:p>
    <w:p>
      <w:pPr>
        <w:jc w:val="both"/>
        <w:ind w:left="660" w:firstLine="644"/>
        <w:spacing w:after="0" w:line="250" w:lineRule="auto"/>
        <w:tabs>
          <w:tab w:leader="none" w:pos="195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Executive a lump sum cash amount equal to the full-year short-term incentive award that Executive would have earned for the 2024 calendar year pursuant to the Company’s short-term incentive plan as in effect as of December 31, 2024 had Executive remained employed by the Company through the payment date for such award, based on the degree of satisfaction of the applicable performance objectives by the executive team as a whole, as determined in good faith by the Committee (the “</w:t>
      </w:r>
      <w:r>
        <w:rPr>
          <w:rFonts w:ascii="Times New Roman" w:cs="Times New Roman" w:eastAsia="Times New Roman" w:hAnsi="Times New Roman"/>
          <w:sz w:val="22"/>
          <w:szCs w:val="22"/>
          <w:b w:val="1"/>
          <w:bCs w:val="1"/>
          <w:i w:val="1"/>
          <w:iCs w:val="1"/>
          <w:color w:val="auto"/>
        </w:rPr>
        <w:t>2024 Bonus</w:t>
      </w:r>
      <w:r>
        <w:rPr>
          <w:rFonts w:ascii="Times New Roman" w:cs="Times New Roman" w:eastAsia="Times New Roman" w:hAnsi="Times New Roman"/>
          <w:sz w:val="22"/>
          <w:szCs w:val="22"/>
          <w:color w:val="auto"/>
        </w:rPr>
        <w:t>”), which 2024 Bonus, if any, shall be paid, less applicable tax withholdings, at the time the Company pays short-term incentive awards to senior executives of the Company for the 2024 calendar year, but in no event later than March 15, 2025.</w:t>
      </w:r>
    </w:p>
    <w:p>
      <w:pPr>
        <w:spacing w:after="0" w:line="187"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94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portion, if any, of the 12-month period following the Separation Date (the “</w:t>
      </w:r>
      <w:r>
        <w:rPr>
          <w:rFonts w:ascii="Times New Roman" w:cs="Times New Roman" w:eastAsia="Times New Roman" w:hAnsi="Times New Roman"/>
          <w:sz w:val="22"/>
          <w:szCs w:val="22"/>
          <w:b w:val="1"/>
          <w:bCs w:val="1"/>
          <w:i w:val="1"/>
          <w:iCs w:val="1"/>
          <w:color w:val="auto"/>
        </w:rPr>
        <w:t>Reimbursement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Period</w:t>
      </w:r>
      <w:r>
        <w:rPr>
          <w:rFonts w:ascii="Times New Roman" w:cs="Times New Roman" w:eastAsia="Times New Roman" w:hAnsi="Times New Roman"/>
          <w:sz w:val="22"/>
          <w:szCs w:val="22"/>
          <w:color w:val="auto"/>
        </w:rPr>
        <w:t>”) that Executive elects to continue coverage for Executive and Executive’s eligible dependents, if any, under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Company’s group health plans pursuant to the Consolidated Omnibus Budget Reconciliation Act of 1985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the Company will reimburse Executive for the amount Executive pays to effect and continue such coverage (the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Reimbursements</w:t>
      </w:r>
      <w:r>
        <w:rPr>
          <w:rFonts w:ascii="Times New Roman" w:cs="Times New Roman" w:eastAsia="Times New Roman" w:hAnsi="Times New Roman"/>
          <w:sz w:val="22"/>
          <w:szCs w:val="22"/>
          <w:color w:val="auto"/>
        </w:rPr>
        <w:t>”), which COBRA Reimbursements will be made by the Company to Executive consistent with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Company’s normal expense reimbursement policy. Executive acknowledges and agrees that the election of continuation coverage pursuant to COBRA and providing any premiums due to the Company with respect to such continuation coverage will remain Executive’s sole responsibility. Notwithstanding the foregoing, should the Company determine in its sole discretion that it cannot provide the COBRA Reimbursements without potentially violating applicable law (including Section 2716 of the Public Health Service Act), the Company will, in lieu of the COBRA Reimbursements, provide to Executive a taxable monthly payment for the Reimbursement Period in an amount equal to the monthly COBRA premium Executive would be required to pay to continue his group health coverage in effect on the Separation Date, which amount will be based on the premium for the first month of COBRA coverage and which payments will be made regardless of whether Executive elects COBRA continuation coverage.</w:t>
      </w:r>
    </w:p>
    <w:p>
      <w:pPr>
        <w:spacing w:after="0" w:line="1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Executive expressly acknowledges and agrees that the severance pay and benefits set forth in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above represent the entirety of the severance pay and benefits for which he is eligible pursuant to the Severance Agreement, and that he has no further rights to any severance pay or benefits from any Released Party.</w:t>
      </w:r>
    </w:p>
    <w:p>
      <w:pPr>
        <w:spacing w:after="0" w:line="167" w:lineRule="exact"/>
        <w:rPr>
          <w:sz w:val="20"/>
          <w:szCs w:val="20"/>
          <w:color w:val="auto"/>
        </w:rPr>
      </w:pPr>
    </w:p>
    <w:p>
      <w:pPr>
        <w:jc w:val="both"/>
        <w:ind w:firstLine="656"/>
        <w:spacing w:after="0" w:line="250" w:lineRule="auto"/>
        <w:tabs>
          <w:tab w:leader="none" w:pos="129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Executive acknowledges and agrees that this Agreement and any payments and benefits described herein are subject to the terms and conditions of the Company’s clawback policy as may be in effect from time to time, including to implement Section 10D of the Securities Exchange Act of 1934 and any applicable rules or regulations promulgated thereunder (including applicable rules and regulations of any national securities exchange on which the common stock of the Company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be traded) (the “</w:t>
      </w:r>
      <w:r>
        <w:rPr>
          <w:rFonts w:ascii="Times New Roman" w:cs="Times New Roman" w:eastAsia="Times New Roman" w:hAnsi="Times New Roman"/>
          <w:sz w:val="22"/>
          <w:szCs w:val="22"/>
          <w:b w:val="1"/>
          <w:bCs w:val="1"/>
          <w:i w:val="1"/>
          <w:iCs w:val="1"/>
          <w:color w:val="auto"/>
        </w:rPr>
        <w:t>Compensation Recovery Policy</w:t>
      </w:r>
      <w:r>
        <w:rPr>
          <w:rFonts w:ascii="Times New Roman" w:cs="Times New Roman" w:eastAsia="Times New Roman" w:hAnsi="Times New Roman"/>
          <w:sz w:val="22"/>
          <w:szCs w:val="22"/>
          <w:color w:val="auto"/>
        </w:rPr>
        <w:t>”), and that applicable sections of this Agreement and any related documents shall be deemed superseded by and subject to the terms and conditions of the Compensation Recovery Policy from and after the effective date thereof.</w:t>
      </w:r>
    </w:p>
    <w:p>
      <w:pPr>
        <w:spacing w:after="0" w:line="179" w:lineRule="exact"/>
        <w:rPr>
          <w:sz w:val="20"/>
          <w:szCs w:val="20"/>
          <w:color w:val="auto"/>
        </w:rPr>
      </w:pPr>
    </w:p>
    <w:p>
      <w:pPr>
        <w:jc w:val="both"/>
        <w:ind w:firstLine="656"/>
        <w:spacing w:after="0" w:line="252" w:lineRule="auto"/>
        <w:tabs>
          <w:tab w:leader="none" w:pos="1296"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Treatment of Outstanding Equity Award</w:t>
      </w:r>
      <w:r>
        <w:rPr>
          <w:rFonts w:ascii="Times New Roman" w:cs="Times New Roman" w:eastAsia="Times New Roman" w:hAnsi="Times New Roman"/>
          <w:sz w:val="22"/>
          <w:szCs w:val="22"/>
          <w:color w:val="auto"/>
        </w:rPr>
        <w:t>. The Company granted Executive 3,750 performance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(the “</w:t>
      </w:r>
      <w:r>
        <w:rPr>
          <w:rFonts w:ascii="Times New Roman" w:cs="Times New Roman" w:eastAsia="Times New Roman" w:hAnsi="Times New Roman"/>
          <w:sz w:val="22"/>
          <w:szCs w:val="22"/>
          <w:b w:val="1"/>
          <w:bCs w:val="1"/>
          <w:i w:val="1"/>
          <w:iCs w:val="1"/>
          <w:color w:val="auto"/>
        </w:rPr>
        <w:t>Performance RSUs</w:t>
      </w:r>
      <w:r>
        <w:rPr>
          <w:rFonts w:ascii="Times New Roman" w:cs="Times New Roman" w:eastAsia="Times New Roman" w:hAnsi="Times New Roman"/>
          <w:sz w:val="22"/>
          <w:szCs w:val="22"/>
          <w:color w:val="auto"/>
        </w:rPr>
        <w:t>”) pursuant to the terms of that certain Performance Restricted Stock Units Award Agreement between Executive and the Company made as of June 3, 2019 and amended as of December 16, 2019 and December 20, 2023 (as amended, the “</w:t>
      </w:r>
      <w:r>
        <w:rPr>
          <w:rFonts w:ascii="Times New Roman" w:cs="Times New Roman" w:eastAsia="Times New Roman" w:hAnsi="Times New Roman"/>
          <w:sz w:val="22"/>
          <w:szCs w:val="22"/>
          <w:b w:val="1"/>
          <w:bCs w:val="1"/>
          <w:i w:val="1"/>
          <w:iCs w:val="1"/>
          <w:color w:val="auto"/>
        </w:rPr>
        <w:t>PRSU Agreement</w:t>
      </w:r>
      <w:r>
        <w:rPr>
          <w:rFonts w:ascii="Times New Roman" w:cs="Times New Roman" w:eastAsia="Times New Roman" w:hAnsi="Times New Roman"/>
          <w:sz w:val="22"/>
          <w:szCs w:val="22"/>
          <w:color w:val="auto"/>
        </w:rPr>
        <w:t>”) and the comScore, Inc. 2018 Equity and Incentive Compensation Plan, as amended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In accordance with the terms of the PRSU Agreement, Executive will forfeit any unvested Performance RSUs on the Separation Date.</w:t>
      </w:r>
    </w:p>
    <w:p>
      <w:pPr>
        <w:spacing w:after="0" w:line="174" w:lineRule="exact"/>
        <w:rPr>
          <w:rFonts w:ascii="Times New Roman" w:cs="Times New Roman" w:eastAsia="Times New Roman" w:hAnsi="Times New Roman"/>
          <w:sz w:val="22"/>
          <w:szCs w:val="22"/>
          <w:b w:val="1"/>
          <w:bCs w:val="1"/>
          <w:color w:val="auto"/>
        </w:rPr>
      </w:pPr>
    </w:p>
    <w:p>
      <w:pPr>
        <w:jc w:val="both"/>
        <w:ind w:firstLine="656"/>
        <w:spacing w:after="0" w:line="248" w:lineRule="auto"/>
        <w:tabs>
          <w:tab w:leader="none" w:pos="1296"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Satisfaction of All Leaves and Payment Amounts</w:t>
      </w:r>
      <w:r>
        <w:rPr>
          <w:rFonts w:ascii="Times New Roman" w:cs="Times New Roman" w:eastAsia="Times New Roman" w:hAnsi="Times New Roman"/>
          <w:sz w:val="22"/>
          <w:szCs w:val="22"/>
          <w:color w:val="auto"/>
        </w:rPr>
        <w:t>. In entering into this Agreement, Executive expressly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acknowledges and agrees that, with the exception of any base salary earned by Executive in the pay period in which he signs this Agreement (if such base salary has not been paid as of the time that Executive executes this Agreement) and any (i) base salary to which Executive may be entitled as a result of services performed between the date he signs this Agreement and the Separation Date, and (ii) those sums to which Executive may be entitled following the date that Executive signs this Agreement 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Executive has been paid in full all bonuses, been provided all benefits, and otherwise received all wages, compensation, and other sums that Executive has been owed by the Company and each other Released Party. Executive further acknowledges and agrees that Executive has received all leaves (paid and unpaid) that Executive has been entitled to receive from each Released Party.</w:t>
      </w:r>
    </w:p>
    <w:p>
      <w:pPr>
        <w:spacing w:after="0" w:line="185"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Release of Liability for Claims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656"/>
        <w:spacing w:after="0" w:line="247" w:lineRule="auto"/>
        <w:tabs>
          <w:tab w:leader="none" w:pos="129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good and valuable consideration, the receipt and sufficiency of which is hereby acknowledged, Executive hereby forever releases, discharges and acquits the Company, its present and former subsidiaries and other affiliates, and each of the foregoing entities’ respective past, present and future subsidiaries, affiliates, stockholders, members, partners, directors, officers, managers, employees, agents, attorneys, heirs, predecessors, successors and representatives in their personal and representative capacities, as well as all employee benefit plans maintained by the Company or any of its affiliates and all fiduciaries and administrators of any such plans, in their personal and representative capacities (each a “</w:t>
      </w:r>
      <w:r>
        <w:rPr>
          <w:rFonts w:ascii="Times New Roman" w:cs="Times New Roman" w:eastAsia="Times New Roman" w:hAnsi="Times New Roman"/>
          <w:sz w:val="22"/>
          <w:szCs w:val="22"/>
          <w:b w:val="1"/>
          <w:bCs w:val="1"/>
          <w:i w:val="1"/>
          <w:iCs w:val="1"/>
          <w:color w:val="auto"/>
        </w:rPr>
        <w:t>Released 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i w:val="1"/>
          <w:iCs w:val="1"/>
          <w:color w:val="auto"/>
        </w:rPr>
        <w:t>Released Parties</w:t>
      </w:r>
      <w:r>
        <w:rPr>
          <w:rFonts w:ascii="Times New Roman" w:cs="Times New Roman" w:eastAsia="Times New Roman" w:hAnsi="Times New Roman"/>
          <w:sz w:val="22"/>
          <w:szCs w:val="22"/>
          <w:color w:val="auto"/>
        </w:rPr>
        <w:t>”), from liability for, and Executive hereby waives, any and all claims, damages, or causes of action of any kind, whether known or unknown, related to Executive’s employment with any Released Party, the termination of such employment, the ownership of equity in the Company, and any other acts or omissions related to any matter on or prior to the date that Executive executes this Agreement, whether arising under federal or state laws or the laws of any other jurisdiction, including (i) any alleged violation through such date of: (A) any federal, state or local anti-discrimination or anti-retaliation law, Title VII of the Civil Rights Act of 1964, the Civil Rights Act of 1991, Sections 1981 through 1988 of Title 42 of the United States Code, and the Americans with Disabilities Act of 1990; (B) the Employee Retirement Income Security Act of 1974 (“</w:t>
      </w:r>
      <w:r>
        <w:rPr>
          <w:rFonts w:ascii="Times New Roman" w:cs="Times New Roman" w:eastAsia="Times New Roman" w:hAnsi="Times New Roman"/>
          <w:sz w:val="22"/>
          <w:szCs w:val="22"/>
          <w:b w:val="1"/>
          <w:bCs w:val="1"/>
          <w:i w:val="1"/>
          <w:iCs w:val="1"/>
          <w:color w:val="auto"/>
        </w:rPr>
        <w:t>ERISA</w:t>
      </w:r>
      <w:r>
        <w:rPr>
          <w:rFonts w:ascii="Times New Roman" w:cs="Times New Roman" w:eastAsia="Times New Roman" w:hAnsi="Times New Roman"/>
          <w:sz w:val="22"/>
          <w:szCs w:val="22"/>
          <w:color w:val="auto"/>
        </w:rPr>
        <w:t>”); (C) the Immigration Reform Control Act; (D) the Family and Medical Leave Act of 1993; (E) any federal, state or local wage and hour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law; (F) the Securities Act of 1933; (G) the Securities Exchange Act of 1934; (H) the Investment Advisers Act of 1940; (I) the Investment Company Act of 1940; (J) the Private Securities Litigation Reform Act of 1995; (K) the Sarbanes-Oxley Act of 2002;</w:t>
      </w:r>
    </w:p>
    <w:p>
      <w:pPr>
        <w:spacing w:after="0" w:line="2" w:lineRule="exact"/>
        <w:rPr>
          <w:sz w:val="20"/>
          <w:szCs w:val="20"/>
          <w:color w:val="auto"/>
        </w:rPr>
      </w:pPr>
    </w:p>
    <w:p>
      <w:pPr>
        <w:jc w:val="both"/>
        <w:ind w:firstLine="8"/>
        <w:spacing w:after="0" w:line="257" w:lineRule="auto"/>
        <w:tabs>
          <w:tab w:leader="none" w:pos="346"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Wall Street Reform and Consumer Protection Act of 2010; (M) the New York State Human Rights Law, the New York Labor Law, the New York Retaliatory Action By Employers Law, Section 125 of the New York Workers’ Compensation Law, Article 23-A of the New York Correction Law, the New York Civil Rights Law, the New York Wage-Hour Law, the New York Workers’ Compensation Law, the New York Wage Payment Law, the New York City Human Rights Law, the New York City Earned Sick Leave Law, the New Jersey Law Against Discrimination, the New Jersey Conscientious Employee Protection Act, the New Jersey Civil Rights Act, the New Jersey Family Leave Act, the New Jersey Wage Payment Law, the New Jersey Wage and Hour Law, the New Jersey Equal Pay Act, and retaliation claims under the New Jersey Workers’ Compensation Law; (N) any applicable state employment and securities laws; (O) any other local, state or federal law, regulation, ordinance or orders which may have afforded any legal or equitable causes of action of any nature; (P) any public policy, contract, tort, or common law claim, including any claim for defamation, emotional distress, fraud or misrepresentation of any kind, promissory estoppel, breach of any implied duty of good faith and fair dealing, breach of implied or express contract, breach of fiduciary duty or wrongful discharge; or (Q) any claim, whether direct or derivative, arising from being a shareholder of the Company or any other Released Party; (ii) any allegation for costs, fees, or other expenses including attorneys’ fees incurred in, or with respect to, a Released Claim; (iii) any and all rights, benefits, or claims Executive may have under any employment contract (including the Severance Agreement and Executive’s Change of Control Agreement effective as of May 28, 2019 (the “</w:t>
      </w:r>
      <w:r>
        <w:rPr>
          <w:rFonts w:ascii="Times New Roman" w:cs="Times New Roman" w:eastAsia="Times New Roman" w:hAnsi="Times New Roman"/>
          <w:sz w:val="21"/>
          <w:szCs w:val="21"/>
          <w:b w:val="1"/>
          <w:bCs w:val="1"/>
          <w:i w:val="1"/>
          <w:iCs w:val="1"/>
          <w:color w:val="auto"/>
        </w:rPr>
        <w:t>Change of Control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any incentive or compensation plan or agreement (including the Plan and the award agreements thereunder,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including the PRSU Agreement), or under any other benefit plan, program or practice; and (iv) any claim for compensation, damages or benefits of any kind not expressly set forth in this Agreement (collectively, the “</w:t>
      </w:r>
      <w:r>
        <w:rPr>
          <w:rFonts w:ascii="Times New Roman" w:cs="Times New Roman" w:eastAsia="Times New Roman" w:hAnsi="Times New Roman"/>
          <w:sz w:val="21"/>
          <w:szCs w:val="21"/>
          <w:b w:val="1"/>
          <w:bCs w:val="1"/>
          <w:i w:val="1"/>
          <w:iCs w:val="1"/>
          <w:color w:val="auto"/>
        </w:rPr>
        <w:t>Released Claims</w:t>
      </w:r>
      <w:r>
        <w:rPr>
          <w:rFonts w:ascii="Times New Roman" w:cs="Times New Roman" w:eastAsia="Times New Roman" w:hAnsi="Times New Roman"/>
          <w:sz w:val="21"/>
          <w:szCs w:val="21"/>
          <w:color w:val="auto"/>
        </w:rPr>
        <w:t xml:space="preserve">”). This Agreement is not intended to indicate that any such claims exist or that, if they do exist, they are meritorious. Rather, Executive is simply agreeing that, in exchange for any consideration received by Executive hereunder, any and all potential claims of this nature that Executive may have against any of the Released Parties, regardless of whether they actually exist, are expressly settled, compromised and waived. </w:t>
      </w:r>
      <w:r>
        <w:rPr>
          <w:rFonts w:ascii="Times New Roman" w:cs="Times New Roman" w:eastAsia="Times New Roman" w:hAnsi="Times New Roman"/>
          <w:sz w:val="21"/>
          <w:szCs w:val="21"/>
          <w:b w:val="1"/>
          <w:bCs w:val="1"/>
          <w:color w:val="auto"/>
        </w:rPr>
        <w:t>THIS RELEASE INCLUDES MATTERS ATTRIBUTABLE TO THE SOLE OR PARTIAL</w:t>
      </w:r>
    </w:p>
    <w:p>
      <w:pPr>
        <w:spacing w:after="0" w:line="10" w:lineRule="exact"/>
        <w:rPr>
          <w:rFonts w:ascii="Times New Roman" w:cs="Times New Roman" w:eastAsia="Times New Roman" w:hAnsi="Times New Roman"/>
          <w:sz w:val="21"/>
          <w:szCs w:val="21"/>
          <w:color w:val="auto"/>
        </w:rPr>
      </w:pPr>
    </w:p>
    <w:p>
      <w:pPr>
        <w:ind w:right="20"/>
        <w:spacing w:after="0" w:line="25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NEGLIGENCE (WHETHER GROSS OR SIMPLE) OR OTHER FAULT, INCLUDING STRICT LIABILITY, OF ANY OF THE RELEASED PARTIES</w:t>
      </w:r>
      <w:r>
        <w:rPr>
          <w:rFonts w:ascii="Times New Roman" w:cs="Times New Roman" w:eastAsia="Times New Roman" w:hAnsi="Times New Roman"/>
          <w:sz w:val="22"/>
          <w:szCs w:val="22"/>
          <w:color w:val="auto"/>
        </w:rPr>
        <w:t>.</w:t>
      </w:r>
    </w:p>
    <w:p>
      <w:pPr>
        <w:spacing w:after="0" w:line="170" w:lineRule="exact"/>
        <w:rPr>
          <w:rFonts w:ascii="Times New Roman" w:cs="Times New Roman" w:eastAsia="Times New Roman" w:hAnsi="Times New Roman"/>
          <w:sz w:val="21"/>
          <w:szCs w:val="21"/>
          <w:color w:val="auto"/>
        </w:rPr>
      </w:pPr>
    </w:p>
    <w:p>
      <w:pPr>
        <w:jc w:val="both"/>
        <w:ind w:firstLine="656"/>
        <w:spacing w:after="0" w:line="253" w:lineRule="auto"/>
        <w:tabs>
          <w:tab w:leader="none" w:pos="129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Released Claims include (i) any claim that arises after the date this Agreement is executed by Executive; (ii) any claim to vested benefits under an employee benefit plan that is subject to ERISA and that ERISA prevents from being released pursuant to a release agreement; or (iii) any claims that cannot be waived as a matter of law, including claims for unemployment compensation benefits, Medicaid benefits, workers’ compensation insurance benefits or other public benefits to which Executive may be entitled.</w:t>
      </w:r>
    </w:p>
    <w:p>
      <w:pPr>
        <w:spacing w:after="0" w:line="174" w:lineRule="exact"/>
        <w:rPr>
          <w:rFonts w:ascii="Times New Roman" w:cs="Times New Roman" w:eastAsia="Times New Roman" w:hAnsi="Times New Roman"/>
          <w:sz w:val="22"/>
          <w:szCs w:val="22"/>
          <w:color w:val="auto"/>
        </w:rPr>
      </w:pPr>
    </w:p>
    <w:p>
      <w:pPr>
        <w:ind w:firstLine="656"/>
        <w:spacing w:after="0" w:line="275" w:lineRule="auto"/>
        <w:tabs>
          <w:tab w:leader="none" w:pos="1293"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this release of liability, </w:t>
      </w:r>
      <w:r>
        <w:rPr>
          <w:rFonts w:ascii="Times New Roman" w:cs="Times New Roman" w:eastAsia="Times New Roman" w:hAnsi="Times New Roman"/>
          <w:sz w:val="22"/>
          <w:szCs w:val="22"/>
          <w:i w:val="1"/>
          <w:iCs w:val="1"/>
          <w:color w:val="auto"/>
        </w:rPr>
        <w:t>nothing in this Agreement prevents Executive from filing any non-legally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waivable claim, including a challenge to the validity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i w:val="1"/>
          <w:iCs w:val="1"/>
          <w:color w:val="auto"/>
        </w:rPr>
        <w:t>Agreement, with the Equal Employment Opportunity Commission, Securities and Exchange Commission, or any other federal, state or local governmental agency or commission (each a “</w:t>
      </w:r>
      <w:r>
        <w:rPr>
          <w:rFonts w:ascii="Times New Roman" w:cs="Times New Roman" w:eastAsia="Times New Roman" w:hAnsi="Times New Roman"/>
          <w:sz w:val="22"/>
          <w:szCs w:val="22"/>
          <w:b w:val="1"/>
          <w:bCs w:val="1"/>
          <w:i w:val="1"/>
          <w:iCs w:val="1"/>
          <w:color w:val="auto"/>
        </w:rPr>
        <w:t>Governmental Agency</w:t>
      </w:r>
      <w:r>
        <w:rPr>
          <w:rFonts w:ascii="Times New Roman" w:cs="Times New Roman" w:eastAsia="Times New Roman" w:hAnsi="Times New Roman"/>
          <w:sz w:val="22"/>
          <w:szCs w:val="22"/>
          <w:i w:val="1"/>
          <w:iCs w:val="1"/>
          <w:color w:val="auto"/>
        </w:rPr>
        <w:t>” and collectively “</w:t>
      </w:r>
      <w:r>
        <w:rPr>
          <w:rFonts w:ascii="Times New Roman" w:cs="Times New Roman" w:eastAsia="Times New Roman" w:hAnsi="Times New Roman"/>
          <w:sz w:val="22"/>
          <w:szCs w:val="22"/>
          <w:b w:val="1"/>
          <w:bCs w:val="1"/>
          <w:i w:val="1"/>
          <w:iCs w:val="1"/>
          <w:color w:val="auto"/>
        </w:rPr>
        <w:t>Governmental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Agencies</w:t>
      </w:r>
      <w:r>
        <w:rPr>
          <w:rFonts w:ascii="Times New Roman" w:cs="Times New Roman" w:eastAsia="Times New Roman" w:hAnsi="Times New Roman"/>
          <w:sz w:val="22"/>
          <w:szCs w:val="22"/>
          <w:i w:val="1"/>
          <w:iCs w:val="1"/>
          <w:color w:val="auto"/>
        </w:rPr>
        <w:t>”) or participating in (or cooperating with) any investigation or proceeding conducted by any Governmental Agency;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however, Executive understands and agrees that, to the extent permitted by law, Executive is waiving any and all rights to recover any monetary or personal relief or recovery from any Released Party as a result of a Governmental Agency proceeding or subsequent legal actions</w:t>
      </w:r>
      <w:r>
        <w:rPr>
          <w:rFonts w:ascii="Times New Roman" w:cs="Times New Roman" w:eastAsia="Times New Roman" w:hAnsi="Times New Roman"/>
          <w:sz w:val="22"/>
          <w:szCs w:val="22"/>
          <w:color w:val="auto"/>
        </w:rPr>
        <w:t>. Nothing herein waives or limits (and the Released Claims do not include) Executive’s right to receive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 award for information provided to a Governmental Agency (including, for the avoidance of doubt, any monetary award or bounty from any Governmental Agency or regulatory or law enforcement authority in connection with any protected “whistleblower” activity) and nothing herein or in any other agreement between Executive and any Released Party shall prohibit or restrict Executive from (x) initiating communications with, providing information or making statements to, causing information to be provided to, or otherwise assisting in an investigation by, any Governmental Agency; (y) complying with a subpoena or responding to any inquiry or legal process directed to Executive from any Governmental Agency; or (z) making any disclosures that are protected under the whistleblower provisions of any applicable law. Further, nothing herein (or in the NDA (as defined below)) prevents or restricts Executive from (i) disclosing or making statements about any claim or action for discrimination, harassment, or retaliation or the underlying facts, circumstances, or details of any claim or action for discrimination, harassment, or retaliation; or (ii) disclosing any facts necessary to receive unemployment insurance, Medicaid, or other public benefits. Nothing in this Agreement or in any other agreement between Executive and any Released Party requires Executive to obtain prior authorization before engaging in any conduct described in this </w:t>
      </w:r>
      <w:r>
        <w:rPr>
          <w:rFonts w:ascii="Times New Roman" w:cs="Times New Roman" w:eastAsia="Times New Roman" w:hAnsi="Times New Roman"/>
          <w:sz w:val="22"/>
          <w:szCs w:val="22"/>
          <w:u w:val="single" w:color="auto"/>
          <w:color w:val="auto"/>
        </w:rPr>
        <w:t>Section 5(c)</w:t>
      </w:r>
      <w:r>
        <w:rPr>
          <w:rFonts w:ascii="Times New Roman" w:cs="Times New Roman" w:eastAsia="Times New Roman" w:hAnsi="Times New Roman"/>
          <w:sz w:val="22"/>
          <w:szCs w:val="22"/>
          <w:color w:val="auto"/>
        </w:rPr>
        <w:t xml:space="preserve"> or to notify any Released Party that Executive has engaged in any such conduct.</w:t>
      </w:r>
    </w:p>
    <w:p>
      <w:pPr>
        <w:spacing w:after="0" w:line="197" w:lineRule="exact"/>
        <w:rPr>
          <w:sz w:val="20"/>
          <w:szCs w:val="20"/>
          <w:color w:val="auto"/>
        </w:rPr>
      </w:pPr>
    </w:p>
    <w:p>
      <w:pPr>
        <w:jc w:val="both"/>
        <w:ind w:firstLine="656"/>
        <w:spacing w:after="0" w:line="259" w:lineRule="auto"/>
        <w:tabs>
          <w:tab w:leader="none" w:pos="1296"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 about Claims</w:t>
      </w:r>
      <w:r>
        <w:rPr>
          <w:rFonts w:ascii="Times New Roman" w:cs="Times New Roman" w:eastAsia="Times New Roman" w:hAnsi="Times New Roman"/>
          <w:sz w:val="22"/>
          <w:szCs w:val="22"/>
          <w:color w:val="auto"/>
        </w:rPr>
        <w:t>. Executive represents and warrants that Executive has made no assignment, sale,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delivery, transfer or conveyance of any claims Executive has asserted or may have against any of the Released Parties with respect to any Released Claim.</w:t>
      </w:r>
    </w:p>
    <w:p>
      <w:pPr>
        <w:spacing w:after="0" w:line="166" w:lineRule="exact"/>
        <w:rPr>
          <w:rFonts w:ascii="Times New Roman" w:cs="Times New Roman" w:eastAsia="Times New Roman" w:hAnsi="Times New Roman"/>
          <w:sz w:val="22"/>
          <w:szCs w:val="22"/>
          <w:b w:val="1"/>
          <w:bCs w:val="1"/>
          <w:color w:val="auto"/>
        </w:rPr>
      </w:pPr>
    </w:p>
    <w:p>
      <w:pPr>
        <w:jc w:val="both"/>
        <w:ind w:firstLine="656"/>
        <w:spacing w:after="0" w:line="265" w:lineRule="auto"/>
        <w:tabs>
          <w:tab w:leader="none" w:pos="1296"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Executive’s Acknowledgments; Advice to Consult with Legal Counsel</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This is an important legal document,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 xml:space="preserve">and the Company hereby advises Executive to consult with a lawyer of Executive’s choosing before signing this Agreement. </w:t>
      </w: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executing and delivering this Agreement, Executive expressly acknowledges and represents that:</w:t>
      </w:r>
    </w:p>
    <w:p>
      <w:pPr>
        <w:spacing w:after="0" w:line="165" w:lineRule="exact"/>
        <w:rPr>
          <w:sz w:val="20"/>
          <w:szCs w:val="20"/>
          <w:color w:val="auto"/>
        </w:rPr>
      </w:pPr>
    </w:p>
    <w:p>
      <w:pPr>
        <w:ind w:left="1300" w:hanging="644"/>
        <w:spacing w:after="0"/>
        <w:tabs>
          <w:tab w:leader="none" w:pos="13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employment with the Company will end no later than February 1, 2025;</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carefully read this Agreement;</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had sufficient time to consider this Agreement before its execution and delivery to Company;</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been advised, and hereby is advised in writing, to discuss this Agreement with an attorney before signing this Agreement, and Executive has had adequate opportunity to do so prior to executing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8" w:lineRule="exact"/>
        <w:rPr>
          <w:sz w:val="20"/>
          <w:szCs w:val="20"/>
          <w:color w:val="auto"/>
        </w:rPr>
      </w:pPr>
    </w:p>
    <w:p>
      <w:pPr>
        <w:ind w:firstLine="656"/>
        <w:spacing w:after="0" w:line="271" w:lineRule="auto"/>
        <w:tabs>
          <w:tab w:leader="none" w:pos="129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fully understands the final and binding effect of this Agreement, and the only promises made to Executive to sign this Agreement are those stated herein;</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is signing this Agreement knowingly, voluntarily and of Executive’s own free will; Executive relies on Executive’s own judgment in entering into this Agreement; and Executive understands and agrees to each of the terms of this Agreement;</w:t>
      </w:r>
    </w:p>
    <w:p>
      <w:pPr>
        <w:spacing w:after="0" w:line="167"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only matters relied upon by Executive and causing Executive to sign this Agreement are the provisions set forth in writing within the four corners of this Agreement, and in entering this Agreement, Executive has not relied on any representation or statement, written or oral, of any Released Party or Released Party’s agent that is not set forth in this Agreement; and</w:t>
      </w:r>
    </w:p>
    <w:p>
      <w:pPr>
        <w:spacing w:after="0" w:line="17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Released Party has provided any tax or legal advice regarding this Agreement and Executive has had an adequate opportunity to receive sufficient tax and legal advice from advisors of Executive’s own choosing such that Executive enters into this Agreement with full understanding of the tax and legal implications thereof.</w:t>
      </w:r>
    </w:p>
    <w:p>
      <w:pPr>
        <w:spacing w:after="0" w:line="169" w:lineRule="exact"/>
        <w:rPr>
          <w:sz w:val="20"/>
          <w:szCs w:val="20"/>
          <w:color w:val="auto"/>
        </w:rPr>
      </w:pPr>
    </w:p>
    <w:p>
      <w:pPr>
        <w:jc w:val="both"/>
        <w:ind w:firstLine="656"/>
        <w:spacing w:after="0" w:line="250" w:lineRule="auto"/>
        <w:tabs>
          <w:tab w:leader="none" w:pos="1296"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Reaffirmation of Release</w:t>
      </w:r>
      <w:r>
        <w:rPr>
          <w:rFonts w:ascii="Times New Roman" w:cs="Times New Roman" w:eastAsia="Times New Roman" w:hAnsi="Times New Roman"/>
          <w:sz w:val="22"/>
          <w:szCs w:val="22"/>
          <w:color w:val="auto"/>
        </w:rPr>
        <w:t>. On the Separation Date or within 21 days thereafter, Executive shall execute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Confirming Release Agreement that is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Confirming Release</w:t>
      </w:r>
      <w:r>
        <w:rPr>
          <w:rFonts w:ascii="Times New Roman" w:cs="Times New Roman" w:eastAsia="Times New Roman" w:hAnsi="Times New Roman"/>
          <w:sz w:val="22"/>
          <w:szCs w:val="22"/>
          <w:color w:val="auto"/>
        </w:rPr>
        <w:t xml:space="preserve">”) and return his executed Confirming Release to the Company pursuant to the Notice provision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below, so that it is received by Company no later than 21 days after the Separation Date. Executive acknowledges and agrees that this provides sufficient time to consider the Confirming Release. Executive further acknowledges and agrees that, as a condition of receiving the compensation and benefits described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he is required to timely execute and return the Confirming Release and not exercise his revocation right as described therein.</w:t>
      </w:r>
    </w:p>
    <w:p>
      <w:pPr>
        <w:spacing w:after="0" w:line="193" w:lineRule="exact"/>
        <w:rPr>
          <w:rFonts w:ascii="Times New Roman" w:cs="Times New Roman" w:eastAsia="Times New Roman" w:hAnsi="Times New Roman"/>
          <w:sz w:val="22"/>
          <w:szCs w:val="22"/>
          <w:b w:val="1"/>
          <w:bCs w:val="1"/>
          <w:color w:val="auto"/>
        </w:rPr>
      </w:pPr>
    </w:p>
    <w:p>
      <w:pPr>
        <w:jc w:val="both"/>
        <w:ind w:firstLine="656"/>
        <w:spacing w:after="0" w:line="251" w:lineRule="auto"/>
        <w:tabs>
          <w:tab w:leader="none" w:pos="1296"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Return of Property</w:t>
      </w:r>
      <w:r>
        <w:rPr>
          <w:rFonts w:ascii="Times New Roman" w:cs="Times New Roman" w:eastAsia="Times New Roman" w:hAnsi="Times New Roman"/>
          <w:sz w:val="22"/>
          <w:szCs w:val="22"/>
          <w:color w:val="auto"/>
        </w:rPr>
        <w:t>. Executive warrants that, within five (5) days following the Separation Date, he will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returned to the Company all property belonging to the Company or any other Released Party, including all documents, computer files and other electronically stored information, client materials and other materials provided to Executive by the Company or any other Released Party in the course of Executive’s employment, and Executive further represents and warrants that Executive has not maintained a copy of any such materials in any form.</w:t>
      </w:r>
    </w:p>
    <w:p>
      <w:pPr>
        <w:spacing w:after="0" w:line="189" w:lineRule="exact"/>
        <w:rPr>
          <w:rFonts w:ascii="Times New Roman" w:cs="Times New Roman" w:eastAsia="Times New Roman" w:hAnsi="Times New Roman"/>
          <w:sz w:val="22"/>
          <w:szCs w:val="22"/>
          <w:b w:val="1"/>
          <w:bCs w:val="1"/>
          <w:color w:val="auto"/>
        </w:rPr>
      </w:pPr>
    </w:p>
    <w:p>
      <w:pPr>
        <w:jc w:val="both"/>
        <w:ind w:firstLine="656"/>
        <w:spacing w:after="0" w:line="263" w:lineRule="auto"/>
        <w:tabs>
          <w:tab w:leader="none" w:pos="1296" w:val="left"/>
        </w:tabs>
        <w:numPr>
          <w:ilvl w:val="0"/>
          <w:numId w:val="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Non-Disparagement</w:t>
      </w:r>
      <w:r>
        <w:rPr>
          <w:rFonts w:ascii="Times New Roman" w:cs="Times New Roman" w:eastAsia="Times New Roman" w:hAnsi="Times New Roman"/>
          <w:sz w:val="21"/>
          <w:szCs w:val="21"/>
          <w:color w:val="auto"/>
        </w:rPr>
        <w:t>. Executive agrees not to disparage the Company or any other Released Party or otherwise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take any action which could reasonably be expected to adversely affect the personal or professional reputation of any Released Party; provided, however, that nothing in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shall prohibit or restrict Executive from (a) engaging in any activity permitted by </w:t>
      </w:r>
      <w:r>
        <w:rPr>
          <w:rFonts w:ascii="Times New Roman" w:cs="Times New Roman" w:eastAsia="Times New Roman" w:hAnsi="Times New Roman"/>
          <w:sz w:val="21"/>
          <w:szCs w:val="21"/>
          <w:u w:val="single" w:color="auto"/>
          <w:color w:val="auto"/>
        </w:rPr>
        <w:t>Section 5(c)</w:t>
      </w:r>
      <w:r>
        <w:rPr>
          <w:rFonts w:ascii="Times New Roman" w:cs="Times New Roman" w:eastAsia="Times New Roman" w:hAnsi="Times New Roman"/>
          <w:sz w:val="21"/>
          <w:szCs w:val="21"/>
          <w:color w:val="auto"/>
        </w:rPr>
        <w:t xml:space="preserve"> above, (b) engaging in the legal process or making any disclosure required by law, or (c) providing truthful testimony in response to a subpoena or in any legal or administrative proceeding. The Company agrees to instruct its directors and executive officers not to disparage Executive or otherwise take any action that could reasonably be expected to adversely affect Executive’s personal or professional reputation; provided, however, that nothing in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shall prohibit or restrict any such person from (a) engaging in any activity permitted by </w:t>
      </w:r>
      <w:r>
        <w:rPr>
          <w:rFonts w:ascii="Times New Roman" w:cs="Times New Roman" w:eastAsia="Times New Roman" w:hAnsi="Times New Roman"/>
          <w:sz w:val="21"/>
          <w:szCs w:val="21"/>
          <w:u w:val="single" w:color="auto"/>
          <w:color w:val="auto"/>
        </w:rPr>
        <w:t>Section 5(c)</w:t>
      </w:r>
      <w:r>
        <w:rPr>
          <w:rFonts w:ascii="Times New Roman" w:cs="Times New Roman" w:eastAsia="Times New Roman" w:hAnsi="Times New Roman"/>
          <w:sz w:val="21"/>
          <w:szCs w:val="21"/>
          <w:color w:val="auto"/>
        </w:rPr>
        <w:t xml:space="preserve"> above, (b) engaging in the legal process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making any disclosure required by law, or (c) providing truthful testimony in response to a subpoena or in any legal or administrative proceeding.</w:t>
      </w:r>
    </w:p>
    <w:p>
      <w:pPr>
        <w:spacing w:after="0" w:line="154" w:lineRule="exact"/>
        <w:rPr>
          <w:sz w:val="20"/>
          <w:szCs w:val="20"/>
          <w:color w:val="auto"/>
        </w:rPr>
      </w:pPr>
    </w:p>
    <w:p>
      <w:pPr>
        <w:ind w:firstLine="656"/>
        <w:spacing w:after="0" w:line="287" w:lineRule="auto"/>
        <w:tabs>
          <w:tab w:leader="none" w:pos="1284"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This Agreement is entered into under, and shall be governed for all purposes by,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 of Delaware without reference to the principles of conflicts of law thereof.</w:t>
      </w:r>
    </w:p>
    <w:p>
      <w:pPr>
        <w:spacing w:after="0" w:line="137" w:lineRule="exact"/>
        <w:rPr>
          <w:rFonts w:ascii="Times New Roman" w:cs="Times New Roman" w:eastAsia="Times New Roman" w:hAnsi="Times New Roman"/>
          <w:sz w:val="22"/>
          <w:szCs w:val="22"/>
          <w:b w:val="1"/>
          <w:bCs w:val="1"/>
          <w:color w:val="auto"/>
        </w:rPr>
      </w:pPr>
    </w:p>
    <w:p>
      <w:pPr>
        <w:jc w:val="both"/>
        <w:ind w:firstLine="656"/>
        <w:spacing w:after="0" w:line="254" w:lineRule="auto"/>
        <w:tabs>
          <w:tab w:leader="none" w:pos="1296"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Dispute Resolution</w:t>
      </w:r>
      <w:r>
        <w:rPr>
          <w:rFonts w:ascii="Times New Roman" w:cs="Times New Roman" w:eastAsia="Times New Roman" w:hAnsi="Times New Roman"/>
          <w:sz w:val="22"/>
          <w:szCs w:val="22"/>
          <w:color w:val="auto"/>
        </w:rPr>
        <w:t>. Any dispute arising out of or relating to this Agreement shall be subject to the arbitration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dispute resolution provisions set forth in Section 13 of that certain At-Will Employment, Confidential Information, Invention Assignment and Arbitration Agreement executed by Executive on January 25, 2016 (the “</w:t>
      </w:r>
      <w:r>
        <w:rPr>
          <w:rFonts w:ascii="Times New Roman" w:cs="Times New Roman" w:eastAsia="Times New Roman" w:hAnsi="Times New Roman"/>
          <w:sz w:val="22"/>
          <w:szCs w:val="22"/>
          <w:b w:val="1"/>
          <w:bCs w:val="1"/>
          <w:i w:val="1"/>
          <w:iCs w:val="1"/>
          <w:color w:val="auto"/>
        </w:rPr>
        <w:t>NDA</w:t>
      </w:r>
      <w:r>
        <w:rPr>
          <w:rFonts w:ascii="Times New Roman" w:cs="Times New Roman" w:eastAsia="Times New Roman" w:hAnsi="Times New Roman"/>
          <w:sz w:val="22"/>
          <w:szCs w:val="22"/>
          <w:color w:val="auto"/>
        </w:rPr>
        <w:t>”). EACH OF THE PARTIES HERETO HEREBY IRREVOCABLY WAIVES ALL RIGHT TO TRIAL BY JURY OR A COURT TRIAL IN ANY ACTION, PROCEEDING, OR COUNTERCLAIM ARISING OUT OF OR RELATING TO THIS AGREEMENT.</w:t>
      </w:r>
    </w:p>
    <w:p>
      <w:pPr>
        <w:spacing w:after="0" w:line="173" w:lineRule="exact"/>
        <w:rPr>
          <w:rFonts w:ascii="Times New Roman" w:cs="Times New Roman" w:eastAsia="Times New Roman" w:hAnsi="Times New Roman"/>
          <w:sz w:val="22"/>
          <w:szCs w:val="22"/>
          <w:b w:val="1"/>
          <w:bCs w:val="1"/>
          <w:color w:val="auto"/>
        </w:rPr>
      </w:pPr>
    </w:p>
    <w:p>
      <w:pPr>
        <w:ind w:firstLine="656"/>
        <w:spacing w:after="0" w:line="299" w:lineRule="auto"/>
        <w:tabs>
          <w:tab w:leader="none" w:pos="1296" w:val="left"/>
        </w:tabs>
        <w:numPr>
          <w:ilvl w:val="0"/>
          <w:numId w:val="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Counterparts</w:t>
      </w:r>
      <w:r>
        <w:rPr>
          <w:rFonts w:ascii="Times New Roman" w:cs="Times New Roman" w:eastAsia="Times New Roman" w:hAnsi="Times New Roman"/>
          <w:sz w:val="21"/>
          <w:szCs w:val="21"/>
          <w:color w:val="auto"/>
        </w:rPr>
        <w:t>. This Agreement may be executed in one or more counterparts (including electronic counterparts),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of which shall be deemed to be an original, but all of which together will constitute one and the same Agreement.</w:t>
      </w:r>
    </w:p>
    <w:p>
      <w:pPr>
        <w:spacing w:after="0" w:line="127" w:lineRule="exact"/>
        <w:rPr>
          <w:rFonts w:ascii="Times New Roman" w:cs="Times New Roman" w:eastAsia="Times New Roman" w:hAnsi="Times New Roman"/>
          <w:sz w:val="21"/>
          <w:szCs w:val="21"/>
          <w:b w:val="1"/>
          <w:bCs w:val="1"/>
          <w:color w:val="auto"/>
        </w:rPr>
      </w:pPr>
    </w:p>
    <w:p>
      <w:pPr>
        <w:jc w:val="both"/>
        <w:ind w:firstLine="656"/>
        <w:spacing w:after="0" w:line="248" w:lineRule="auto"/>
        <w:tabs>
          <w:tab w:leader="none" w:pos="1296"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Entire Agreement</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this Agreement may not be changed orally but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only by an agreement in writing agreed to and signed by the Party to be charged. This Agreement (and, as referenced herein, the NDA, the Plan, the PRSU Agreement and the Indemnification Agreement), constitute the entire agreement of the Parties with regard to the subject matter hereof and supersede all prior and contemporaneous agreements and understandings, oral or written, between Executive and any Released Party with regard to the subject matter hereof; provided, however, this Agreement complements and is in addition to (and does not supersede or replace) all other obligations of Executive (whether such obligations arise by contract, statute, common law, or otherwise) with respect to confidentiality and non-disclosure, return of property, non-competition, and non-solicitation. Notwithstanding the foregoing, the Company agrees that it will only seek to enforce Sections 7A and 7B of the NDA to the extent that such enforcement would prevent those activities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w:t>
      </w:r>
      <w:r>
        <w:rPr>
          <w:rFonts w:ascii="Times New Roman" w:cs="Times New Roman" w:eastAsia="Times New Roman" w:hAnsi="Times New Roman"/>
          <w:sz w:val="22"/>
          <w:szCs w:val="22"/>
          <w:color w:val="auto"/>
        </w:rPr>
        <w:t xml:space="preserve"> below. For the avoidance of doubt, Executive acknowledges and agrees that the Company’s provision of the consideration set forth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above will fully and finally satisfy any and all rights that Executive ever could have pursuant to the Severance Agreement and the Change of Control Agreement, and Executive shall not be entitled to any payments pursuant to the Severance Agreement or the Change of Control Agreement in addition to the payments described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above.</w:t>
      </w:r>
    </w:p>
    <w:p>
      <w:pPr>
        <w:spacing w:after="0" w:line="192" w:lineRule="exact"/>
        <w:rPr>
          <w:rFonts w:ascii="Times New Roman" w:cs="Times New Roman" w:eastAsia="Times New Roman" w:hAnsi="Times New Roman"/>
          <w:sz w:val="22"/>
          <w:szCs w:val="22"/>
          <w:b w:val="1"/>
          <w:bCs w:val="1"/>
          <w:color w:val="auto"/>
        </w:rPr>
      </w:pPr>
    </w:p>
    <w:p>
      <w:pPr>
        <w:jc w:val="both"/>
        <w:ind w:firstLine="656"/>
        <w:spacing w:after="0" w:line="259" w:lineRule="auto"/>
        <w:tabs>
          <w:tab w:leader="none" w:pos="1296"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Third-Party Beneficiaries</w:t>
      </w:r>
      <w:r>
        <w:rPr>
          <w:rFonts w:ascii="Times New Roman" w:cs="Times New Roman" w:eastAsia="Times New Roman" w:hAnsi="Times New Roman"/>
          <w:sz w:val="22"/>
          <w:szCs w:val="22"/>
          <w:color w:val="auto"/>
        </w:rPr>
        <w:t>. Executive expressly acknowledges and agrees that each Released Party that is not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signatory to this Agreement shall be a third-party beneficiary of Executive’s releases, representations, and covenants herein and shall be entitled to enforce such releases, representations, and covenants as if a party hereto.</w:t>
      </w:r>
    </w:p>
    <w:p>
      <w:pPr>
        <w:spacing w:after="0" w:line="166" w:lineRule="exact"/>
        <w:rPr>
          <w:rFonts w:ascii="Times New Roman" w:cs="Times New Roman" w:eastAsia="Times New Roman" w:hAnsi="Times New Roman"/>
          <w:sz w:val="22"/>
          <w:szCs w:val="22"/>
          <w:b w:val="1"/>
          <w:bCs w:val="1"/>
          <w:color w:val="auto"/>
        </w:rPr>
      </w:pPr>
    </w:p>
    <w:p>
      <w:pPr>
        <w:jc w:val="both"/>
        <w:ind w:firstLine="656"/>
        <w:spacing w:after="0" w:line="259" w:lineRule="auto"/>
        <w:tabs>
          <w:tab w:leader="none" w:pos="1296"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 and Modification</w:t>
      </w:r>
      <w:r>
        <w:rPr>
          <w:rFonts w:ascii="Times New Roman" w:cs="Times New Roman" w:eastAsia="Times New Roman" w:hAnsi="Times New Roman"/>
          <w:sz w:val="22"/>
          <w:szCs w:val="22"/>
          <w:color w:val="auto"/>
        </w:rPr>
        <w:t>. Any term or provision of this Agreement (or parts thereof) that renders such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provision (or part thereof) or any other term or provision (or part thereof) of this Agreement invalid or unenforceable in any respect shall be severable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9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shall be modified or severed to the extent necessary to avoid rendering such term or provision (or part thereof) invalid or unenforceable, and such severance or modification shall be accomplished in the manner that most nearly preserves the benefit of the Parties’ bargain hereunder.</w:t>
      </w:r>
    </w:p>
    <w:p>
      <w:pPr>
        <w:spacing w:after="0" w:line="182" w:lineRule="exact"/>
        <w:rPr>
          <w:sz w:val="20"/>
          <w:szCs w:val="20"/>
          <w:color w:val="auto"/>
        </w:rPr>
      </w:pPr>
    </w:p>
    <w:p>
      <w:pPr>
        <w:jc w:val="both"/>
        <w:ind w:firstLine="656"/>
        <w:spacing w:after="0" w:line="259" w:lineRule="auto"/>
        <w:tabs>
          <w:tab w:leader="none" w:pos="1296"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 of Taxes and Other Deductions</w:t>
      </w:r>
      <w:r>
        <w:rPr>
          <w:rFonts w:ascii="Times New Roman" w:cs="Times New Roman" w:eastAsia="Times New Roman" w:hAnsi="Times New Roman"/>
          <w:sz w:val="22"/>
          <w:szCs w:val="22"/>
          <w:color w:val="auto"/>
        </w:rPr>
        <w:t>. The Company may withhold from any payments made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all federal, state, local, and other taxes and withholdings as may be required by any law or governmental regulation or ruling.</w:t>
      </w:r>
    </w:p>
    <w:p>
      <w:pPr>
        <w:spacing w:after="0" w:line="166"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Continued Effectiveness of Restrictive Covenants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56"/>
        <w:spacing w:after="0" w:line="263" w:lineRule="auto"/>
        <w:tabs>
          <w:tab w:leader="none" w:pos="129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and agrees that Executive is subject to continuing obligations pursuant to the NDA (the “</w:t>
      </w:r>
      <w:r>
        <w:rPr>
          <w:rFonts w:ascii="Times New Roman" w:cs="Times New Roman" w:eastAsia="Times New Roman" w:hAnsi="Times New Roman"/>
          <w:sz w:val="22"/>
          <w:szCs w:val="22"/>
          <w:b w:val="1"/>
          <w:bCs w:val="1"/>
          <w:i w:val="1"/>
          <w:iCs w:val="1"/>
          <w:color w:val="auto"/>
        </w:rPr>
        <w:t>Restrictive Covenants</w:t>
      </w:r>
      <w:r>
        <w:rPr>
          <w:rFonts w:ascii="Times New Roman" w:cs="Times New Roman" w:eastAsia="Times New Roman" w:hAnsi="Times New Roman"/>
          <w:sz w:val="22"/>
          <w:szCs w:val="22"/>
          <w:color w:val="auto"/>
        </w:rPr>
        <w:t>”). Accordingly, as a result of the Restrictive Covenants and Executive’s entry into this Agreement, Executive agrees for a period of twelve (12) months following the Separation Date (the “</w:t>
      </w:r>
      <w:r>
        <w:rPr>
          <w:rFonts w:ascii="Times New Roman" w:cs="Times New Roman" w:eastAsia="Times New Roman" w:hAnsi="Times New Roman"/>
          <w:sz w:val="22"/>
          <w:szCs w:val="22"/>
          <w:b w:val="1"/>
          <w:bCs w:val="1"/>
          <w:i w:val="1"/>
          <w:iCs w:val="1"/>
          <w:color w:val="auto"/>
        </w:rPr>
        <w:t>Restricted Period</w:t>
      </w:r>
      <w:r>
        <w:rPr>
          <w:rFonts w:ascii="Times New Roman" w:cs="Times New Roman" w:eastAsia="Times New Roman" w:hAnsi="Times New Roman"/>
          <w:sz w:val="22"/>
          <w:szCs w:val="22"/>
          <w:color w:val="auto"/>
        </w:rPr>
        <w:t>”), not to:</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44"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(x) solicit, induce or encourage any Company employee or contractor to leave his or her Company employment or engagement, (y) solicit, induce or recruit any Company employee or contractor, or individual who was a Company employee or contractor within the last six (6) months of Executive’s Company employment, to become employed or engaged by any other person or entity, provided that this clause (y) shall not apply to any former Company employee or contractor whose employment or engagement was terminated by the Company prior to the first such solicitation, inducement or recruitment by Executive, or (z) hire as an employee, independent contractor, or otherwise any person then employed or engaged by the Company;</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5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Directly or indirectly (x) solicit, induce or encourage any Client to cease doing business with, or to reduce the amount of business it does with, the Company; (y) solicit any Client (other than on behalf of the Company) for the purpose of providing products or services competitive with those of the Company, or (z) solicit any Prospective Client (other than on behalf of the Company) for the purpose of providing products or services competitive with those of the Company. For the purposes of this </w:t>
      </w:r>
      <w:r>
        <w:rPr>
          <w:rFonts w:ascii="Times New Roman" w:cs="Times New Roman" w:eastAsia="Times New Roman" w:hAnsi="Times New Roman"/>
          <w:sz w:val="22"/>
          <w:szCs w:val="22"/>
          <w:u w:val="single" w:color="auto"/>
          <w:color w:val="auto"/>
        </w:rPr>
        <w:t>Section 18(a)(ii)</w:t>
      </w:r>
      <w:r>
        <w:rPr>
          <w:rFonts w:ascii="Times New Roman" w:cs="Times New Roman" w:eastAsia="Times New Roman" w:hAnsi="Times New Roman"/>
          <w:sz w:val="22"/>
          <w:szCs w:val="22"/>
          <w:color w:val="auto"/>
        </w:rPr>
        <w:t xml:space="preserve"> only, the term “Client” shall mean any client of the Company on whose account Executive worked, with whom/which Executive had direct and significant contact during the last two years of Executive’s Company employment, or about whom/which Executive obtained Confidential Information (as defined in the NDA) during the course of Executive’s Company employment. For the purposes of this </w:t>
      </w:r>
      <w:r>
        <w:rPr>
          <w:rFonts w:ascii="Times New Roman" w:cs="Times New Roman" w:eastAsia="Times New Roman" w:hAnsi="Times New Roman"/>
          <w:sz w:val="22"/>
          <w:szCs w:val="22"/>
          <w:u w:val="single" w:color="auto"/>
          <w:color w:val="auto"/>
        </w:rPr>
        <w:t>Section 18(a)(ii)</w:t>
      </w:r>
      <w:r>
        <w:rPr>
          <w:rFonts w:ascii="Times New Roman" w:cs="Times New Roman" w:eastAsia="Times New Roman" w:hAnsi="Times New Roman"/>
          <w:sz w:val="22"/>
          <w:szCs w:val="22"/>
          <w:color w:val="auto"/>
        </w:rPr>
        <w:t xml:space="preserve"> only, the term “Prospective Client” shall mean an individual or entity solicited by the Company during the last year of Executive’s Company employment, and about whom/which Executive either gained Confidential Information or with whom/which Executive had contact during Executive’s Company employment; or</w:t>
      </w:r>
    </w:p>
    <w:p>
      <w:pPr>
        <w:spacing w:after="0" w:line="188"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5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Restricted Territory, (x) directly or indirectly, own, manage, operate, or be an officer or director of; or (y) become employed by or otherwise engaged by, any person or entity (including Executive) that competes or is planning to compete with the Company in any capacity (with respect to this clause (y)) if such employment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8"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engagement (A) requires Executive to perform duties or responsibilities substantively similar to those Executive performed for the Company during the last two years of Executive’s Company employment, (B) otherwise requires Executive to compete with the Company, or (C) would require Executive to use or disclose any Confidential Information of the Company. The term “</w:t>
      </w:r>
      <w:r>
        <w:rPr>
          <w:rFonts w:ascii="Times New Roman" w:cs="Times New Roman" w:eastAsia="Times New Roman" w:hAnsi="Times New Roman"/>
          <w:sz w:val="22"/>
          <w:szCs w:val="22"/>
          <w:b w:val="1"/>
          <w:bCs w:val="1"/>
          <w:i w:val="1"/>
          <w:iCs w:val="1"/>
          <w:color w:val="auto"/>
        </w:rPr>
        <w:t>Restricted Territory</w:t>
      </w:r>
      <w:r>
        <w:rPr>
          <w:rFonts w:ascii="Times New Roman" w:cs="Times New Roman" w:eastAsia="Times New Roman" w:hAnsi="Times New Roman"/>
          <w:sz w:val="22"/>
          <w:szCs w:val="22"/>
          <w:color w:val="auto"/>
        </w:rPr>
        <w:t>” shall mean any geographic area where, or with respect to which, the Company has transacted business or actively marketed its products or services at any time during the last year of Executive’s Company employment.</w:t>
      </w:r>
    </w:p>
    <w:p>
      <w:pPr>
        <w:spacing w:after="0" w:line="181" w:lineRule="exact"/>
        <w:rPr>
          <w:sz w:val="20"/>
          <w:szCs w:val="20"/>
          <w:color w:val="auto"/>
        </w:rPr>
      </w:pPr>
    </w:p>
    <w:p>
      <w:pPr>
        <w:ind w:firstLine="656"/>
        <w:spacing w:after="0" w:line="271" w:lineRule="auto"/>
        <w:tabs>
          <w:tab w:leader="none" w:pos="129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 expressly recognizes the enforceability and effectiveness of the covenants in this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and promises to abide by such covenants following the date Executive enters into this Agreement.</w:t>
      </w:r>
    </w:p>
    <w:p>
      <w:pPr>
        <w:spacing w:after="0" w:line="171"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nothing in this Agreement, the NDA, or the Restrictive Covenants shall prohibit or restrict the Executive from engaging in any activity permitted by </w:t>
      </w:r>
      <w:r>
        <w:rPr>
          <w:rFonts w:ascii="Times New Roman" w:cs="Times New Roman" w:eastAsia="Times New Roman" w:hAnsi="Times New Roman"/>
          <w:sz w:val="22"/>
          <w:szCs w:val="22"/>
          <w:u w:val="single" w:color="auto"/>
          <w:color w:val="auto"/>
        </w:rPr>
        <w:t>Section 5(c)</w:t>
      </w:r>
      <w:r>
        <w:rPr>
          <w:rFonts w:ascii="Times New Roman" w:cs="Times New Roman" w:eastAsia="Times New Roman" w:hAnsi="Times New Roman"/>
          <w:sz w:val="22"/>
          <w:szCs w:val="22"/>
          <w:color w:val="auto"/>
        </w:rPr>
        <w:t xml:space="preserve"> above. Further, pursuant to the federal Defend Trade Secrets Act of 2016, Executive shall not be held criminally or civilly liable under any federal or state trade secret law for the disclosure of a trade secret that: (x) is made (A) in confidence to a federal, state or local government official, either directly or indirectly, or to an attorney and (B) solely for the purpose of reporting or investigating a suspected violation of law; (y) is made to Executive’s attorney in relation to a lawsuit for retaliation against Executive for reporting a suspected violation of law; or (z) is made in a complaint or other document filed in a lawsuit or other proceeding, if such filing is made under seal.</w:t>
      </w:r>
    </w:p>
    <w:p>
      <w:pPr>
        <w:spacing w:after="0" w:line="176" w:lineRule="exact"/>
        <w:rPr>
          <w:sz w:val="20"/>
          <w:szCs w:val="20"/>
          <w:color w:val="auto"/>
        </w:rPr>
      </w:pPr>
    </w:p>
    <w:p>
      <w:pPr>
        <w:ind w:left="1300" w:hanging="644"/>
        <w:spacing w:after="0"/>
        <w:tabs>
          <w:tab w:leader="none" w:pos="130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w:t>
      </w:r>
    </w:p>
    <w:p>
      <w:pPr>
        <w:spacing w:after="0" w:line="218" w:lineRule="exact"/>
        <w:rPr>
          <w:sz w:val="20"/>
          <w:szCs w:val="20"/>
          <w:color w:val="auto"/>
        </w:rPr>
      </w:pPr>
    </w:p>
    <w:p>
      <w:pPr>
        <w:jc w:val="both"/>
        <w:ind w:firstLine="656"/>
        <w:spacing w:after="0" w:line="249" w:lineRule="auto"/>
        <w:tabs>
          <w:tab w:leader="none" w:pos="129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Section 409A of the Internal Revenue Code of 1986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xml:space="preserve">”), each installment payment provided under this Agreement shall be treated as a separate payment. To the extent that any right to reimbursement of expenses or payment of any benefit in-kind under this Agreement constitutes nonqualified deferred compensation (within the meaning of Section 409A), (i) any such expense reimbursement shall be made by the Company no later than the last day of Executive’s taxable year following the taxable year in which such expense was incurred by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foregoing clause shall not be violated with regard to expenses reimbursed under any arrangement covered by Section 105(b) of the Internal Revenue Code of 1986 solely because such expenses are subject to a limit related to the period in which the arrangement is in effect.</w:t>
      </w:r>
    </w:p>
    <w:p>
      <w:pPr>
        <w:spacing w:after="0" w:line="189"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in this Agreement to the contrary, if any payment or benefit provided for herein would be considered deferred compensation under Section 409A, then such payment or benefit shall not be paid or otherwise provided unless Executive has incurred a “separation from service” within the meaning of Section 409A, and further, if any such payment or benefit would be subject to additional taxes and interest under Section 409A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Executive’s receipt of such payment or benefit is not delayed until the earlier of (i) the date of Executive’s death or (ii) the date that is six months after the Separation Date (such date, the “</w:t>
      </w:r>
      <w:r>
        <w:rPr>
          <w:rFonts w:ascii="Times New Roman" w:cs="Times New Roman" w:eastAsia="Times New Roman" w:hAnsi="Times New Roman"/>
          <w:sz w:val="22"/>
          <w:szCs w:val="22"/>
          <w:b w:val="1"/>
          <w:bCs w:val="1"/>
          <w:i w:val="1"/>
          <w:iCs w:val="1"/>
          <w:color w:val="auto"/>
        </w:rPr>
        <w:t>Section 409A Payment Date</w:t>
      </w:r>
      <w:r>
        <w:rPr>
          <w:rFonts w:ascii="Times New Roman" w:cs="Times New Roman" w:eastAsia="Times New Roman" w:hAnsi="Times New Roman"/>
          <w:sz w:val="22"/>
          <w:szCs w:val="22"/>
          <w:color w:val="auto"/>
        </w:rPr>
        <w:t>”), then such payment or benefit shall not be provided to Executive (or Executive’s estate, if applicable) until the Section 409A Payment Date.</w:t>
      </w:r>
    </w:p>
    <w:p>
      <w:pPr>
        <w:spacing w:after="0" w:line="186" w:lineRule="exact"/>
        <w:rPr>
          <w:sz w:val="20"/>
          <w:szCs w:val="20"/>
          <w:color w:val="auto"/>
        </w:rPr>
      </w:pPr>
    </w:p>
    <w:p>
      <w:pPr>
        <w:jc w:val="both"/>
        <w:ind w:firstLine="656"/>
        <w:spacing w:after="0" w:line="252" w:lineRule="auto"/>
        <w:tabs>
          <w:tab w:leader="none" w:pos="129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or any other provision of this Agreement, the Company makes no representations that the payments and benefits provided under this Agreement are exempt from, or compliant with, Section 409A and in no event shall any Released Party be liable for all or any portion of any taxes, penalties, interest or other expenses that may be incurred by Executive on account of non-compliance with Section 409A.</w:t>
      </w:r>
    </w:p>
    <w:p>
      <w:pPr>
        <w:spacing w:after="0" w:line="175" w:lineRule="exact"/>
        <w:rPr>
          <w:sz w:val="20"/>
          <w:szCs w:val="20"/>
          <w:color w:val="auto"/>
        </w:rPr>
      </w:pPr>
    </w:p>
    <w:p>
      <w:pPr>
        <w:jc w:val="both"/>
        <w:ind w:firstLine="656"/>
        <w:spacing w:after="0" w:line="248" w:lineRule="auto"/>
        <w:tabs>
          <w:tab w:leader="none" w:pos="1296"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Interpretation</w:t>
      </w:r>
      <w:r>
        <w:rPr>
          <w:rFonts w:ascii="Times New Roman" w:cs="Times New Roman" w:eastAsia="Times New Roman" w:hAnsi="Times New Roman"/>
          <w:sz w:val="22"/>
          <w:szCs w:val="22"/>
          <w:color w:val="auto"/>
        </w:rPr>
        <w:t>. Titles and headings to Sections hereof are for the purpose of reference only and shall in no way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 define or otherwise affect the provisions hereof. All references herein to a statute, agreement, instrument or other document shall be deemed to refer to such statute, agreement, instrument or other document as amended, supplemented, modified and restated from time to time. The word “or” as used herein is not exclusive and is deemed to have the meaning “and/or.” The words “herein”, “hereof”, “hereunder” and other compounds of the word “here” shall refer to the entire Agreement and not to any particular provision hereof. The use herein of the word “including” or “include” or “includes”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w:t>
      </w:r>
    </w:p>
    <w:p>
      <w:pPr>
        <w:spacing w:after="0" w:line="187" w:lineRule="exact"/>
        <w:rPr>
          <w:rFonts w:ascii="Times New Roman" w:cs="Times New Roman" w:eastAsia="Times New Roman" w:hAnsi="Times New Roman"/>
          <w:sz w:val="22"/>
          <w:szCs w:val="22"/>
          <w:b w:val="1"/>
          <w:bCs w:val="1"/>
          <w:color w:val="auto"/>
        </w:rPr>
      </w:pPr>
    </w:p>
    <w:p>
      <w:pPr>
        <w:jc w:val="both"/>
        <w:ind w:firstLine="656"/>
        <w:spacing w:after="0" w:line="259" w:lineRule="auto"/>
        <w:tabs>
          <w:tab w:leader="none" w:pos="1296"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All notices and other communications under this Agreement must be in writing and must be given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 delivery, email transmission, or certified or registered mail with return receipt requested, when sent to the respective persons below:</w:t>
      </w:r>
    </w:p>
    <w:p>
      <w:pPr>
        <w:sectPr>
          <w:pgSz w:w="11900" w:h="16838" w:orient="portrait"/>
          <w:cols w:equalWidth="0" w:num="1">
            <w:col w:w="11240"/>
          </w:cols>
          <w:pgMar w:left="320" w:top="1440" w:right="339" w:bottom="1440" w:gutter="0" w:footer="0" w:header="0"/>
        </w:sectPr>
      </w:pP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comScore, Inc.</w:t>
      </w:r>
    </w:p>
    <w:p>
      <w:pPr>
        <w:spacing w:after="0" w:line="2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Attention: Sara Dunn, Chief People Officer</w:t>
      </w:r>
    </w:p>
    <w:p>
      <w:pPr>
        <w:spacing w:after="0" w:line="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11950 Democracy Drive, Suite 600</w:t>
      </w:r>
    </w:p>
    <w:p>
      <w:pPr>
        <w:spacing w:after="0" w:line="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Reston, Virginia 20190</w:t>
      </w:r>
    </w:p>
    <w:p>
      <w:pPr>
        <w:spacing w:after="0" w:line="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E-mail: [___]</w:t>
      </w:r>
    </w:p>
    <w:p>
      <w:pPr>
        <w:spacing w:after="0" w:line="196" w:lineRule="exact"/>
        <w:rPr>
          <w:sz w:val="20"/>
          <w:szCs w:val="20"/>
          <w:color w:val="auto"/>
        </w:rPr>
      </w:pPr>
    </w:p>
    <w:p>
      <w:pPr>
        <w:sectPr>
          <w:pgSz w:w="11900" w:h="16838" w:orient="portrait"/>
          <w:cols w:equalWidth="0" w:num="2">
            <w:col w:w="2940" w:space="280"/>
            <w:col w:w="8020"/>
          </w:cols>
          <w:pgMar w:left="320" w:top="1440"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21"/>
          <w:szCs w:val="21"/>
          <w:color w:val="auto"/>
        </w:rPr>
        <w:t>If 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David Algranati</w:t>
      </w:r>
    </w:p>
    <w:p>
      <w:pPr>
        <w:spacing w:after="0" w:line="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[___]</w:t>
      </w:r>
    </w:p>
    <w:p>
      <w:pPr>
        <w:spacing w:after="0" w:line="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[___]</w:t>
      </w:r>
    </w:p>
    <w:p>
      <w:pPr>
        <w:spacing w:after="0" w:line="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Email: [___]</w:t>
      </w:r>
    </w:p>
    <w:p>
      <w:pPr>
        <w:spacing w:after="0" w:line="200" w:lineRule="exact"/>
        <w:rPr>
          <w:sz w:val="20"/>
          <w:szCs w:val="20"/>
          <w:color w:val="auto"/>
        </w:rPr>
      </w:pPr>
    </w:p>
    <w:p>
      <w:pPr>
        <w:sectPr>
          <w:pgSz w:w="11900" w:h="16838" w:orient="portrait"/>
          <w:cols w:equalWidth="0" w:num="2">
            <w:col w:w="2640" w:space="440"/>
            <w:col w:w="81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440" w:right="339" w:bottom="1440" w:gutter="0" w:footer="0" w:header="0"/>
          <w:type w:val="continuous"/>
        </w:sectPr>
      </w:pPr>
    </w:p>
    <w:bookmarkStart w:id="115" w:name="page116"/>
    <w:bookmarkEnd w:id="115"/>
    <w:p>
      <w:pPr>
        <w:spacing w:after="0" w:line="198" w:lineRule="exact"/>
        <w:rPr>
          <w:sz w:val="20"/>
          <w:szCs w:val="20"/>
          <w:color w:val="auto"/>
        </w:rPr>
      </w:pPr>
    </w:p>
    <w:p>
      <w:pPr>
        <w:ind w:left="3440" w:right="1219" w:hanging="4551"/>
        <w:spacing w:after="0" w:line="476" w:lineRule="auto"/>
        <w:rPr>
          <w:sz w:val="20"/>
          <w:szCs w:val="20"/>
          <w:color w:val="auto"/>
        </w:rPr>
      </w:pPr>
      <w:r>
        <w:rPr>
          <w:rFonts w:ascii="Times New Roman" w:cs="Times New Roman" w:eastAsia="Times New Roman" w:hAnsi="Times New Roman"/>
          <w:sz w:val="22"/>
          <w:szCs w:val="22"/>
          <w:color w:val="auto"/>
        </w:rPr>
        <w:t xml:space="preserve">Any Party may change such Party’s address for notice by notice duly given pursuant to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9019"/>
          </w:cols>
          <w:pgMar w:left="1440" w:top="1440" w:right="1440" w:bottom="1440" w:gutter="0" w:footer="0" w:header="0"/>
        </w:sectPr>
      </w:pPr>
    </w:p>
    <w:bookmarkStart w:id="116" w:name="page117"/>
    <w:bookmarkEnd w:id="116"/>
    <w:p>
      <w:pPr>
        <w:spacing w:after="0" w:line="19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executed this Agreement as of the dates set forth beneath their names below, effective for all purposes as provided above.</w:t>
      </w:r>
    </w:p>
    <w:p>
      <w:pPr>
        <w:spacing w:after="0" w:line="39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DAVID ALGRANATI</w:t>
      </w:r>
    </w:p>
    <w:p>
      <w:pPr>
        <w:spacing w:after="0" w:line="200" w:lineRule="exact"/>
        <w:rPr>
          <w:sz w:val="20"/>
          <w:szCs w:val="20"/>
          <w:color w:val="auto"/>
        </w:rPr>
      </w:pPr>
    </w:p>
    <w:p>
      <w:pPr>
        <w:spacing w:after="0" w:line="30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/s/ David Algranati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17373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6">
                      <a:extLst>
                        <a:ext uri="{28A0092B-C50C-407E-A947-70E740481C1C}"/>
                      </a:extLst>
                    </a:blip>
                    <a:srcRect/>
                    <a:stretch>
                      <a:fillRect/>
                    </a:stretch>
                  </pic:blipFill>
                  <pic:spPr bwMode="auto">
                    <a:xfrm>
                      <a:off x="0" y="0"/>
                      <a:ext cx="1737360" cy="8255"/>
                    </a:xfrm>
                    <a:prstGeom prst="rect">
                      <a:avLst/>
                    </a:prstGeom>
                    <a:noFill/>
                  </pic:spPr>
                </pic:pic>
              </a:graphicData>
            </a:graphic>
          </wp:anchor>
        </w:drawing>
      </w:r>
    </w:p>
    <w:p>
      <w:pPr>
        <w:spacing w:after="0" w:line="227"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Jan.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-13970</wp:posOffset>
            </wp:positionV>
            <wp:extent cx="15544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7">
                      <a:extLst>
                        <a:ext uri="{28A0092B-C50C-407E-A947-70E740481C1C}"/>
                      </a:extLst>
                    </a:blip>
                    <a:srcRect/>
                    <a:stretch>
                      <a:fillRect/>
                    </a:stretch>
                  </pic:blipFill>
                  <pic:spPr bwMode="auto">
                    <a:xfrm>
                      <a:off x="0" y="0"/>
                      <a:ext cx="1554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COMSCORE, INC.</w:t>
      </w:r>
    </w:p>
    <w:p>
      <w:pPr>
        <w:spacing w:after="0" w:line="200" w:lineRule="exact"/>
        <w:rPr>
          <w:sz w:val="20"/>
          <w:szCs w:val="20"/>
          <w:color w:val="auto"/>
        </w:rPr>
      </w:pPr>
    </w:p>
    <w:p>
      <w:pPr>
        <w:spacing w:after="0" w:line="294"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Sara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5697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8">
                      <a:extLst>
                        <a:ext uri="{28A0092B-C50C-407E-A947-70E740481C1C}"/>
                      </a:extLst>
                    </a:blip>
                    <a:srcRect/>
                    <a:stretch>
                      <a:fillRect/>
                    </a:stretch>
                  </pic:blipFill>
                  <pic:spPr bwMode="auto">
                    <a:xfrm>
                      <a:off x="0" y="0"/>
                      <a:ext cx="1569720" cy="8890"/>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Sara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-29210</wp:posOffset>
            </wp:positionV>
            <wp:extent cx="1405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9">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People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-21590</wp:posOffset>
            </wp:positionV>
            <wp:extent cx="18256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0">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1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Jan.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-13970</wp:posOffset>
            </wp:positionV>
            <wp:extent cx="15544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1">
                      <a:extLst>
                        <a:ext uri="{28A0092B-C50C-407E-A947-70E740481C1C}"/>
                      </a:extLst>
                    </a:blip>
                    <a:srcRect/>
                    <a:stretch>
                      <a:fillRect/>
                    </a:stretch>
                  </pic:blipFill>
                  <pic:spPr bwMode="auto">
                    <a:xfrm>
                      <a:off x="0" y="0"/>
                      <a:ext cx="1554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Separation and General Release Agreement]</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CONFIRMING RELEASE AGREEMENT</w:t>
      </w:r>
    </w:p>
    <w:p>
      <w:pPr>
        <w:spacing w:after="0" w:line="2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Confirming Release Agreement (the “</w:t>
      </w:r>
      <w:r>
        <w:rPr>
          <w:rFonts w:ascii="Times New Roman" w:cs="Times New Roman" w:eastAsia="Times New Roman" w:hAnsi="Times New Roman"/>
          <w:sz w:val="22"/>
          <w:szCs w:val="22"/>
          <w:b w:val="1"/>
          <w:bCs w:val="1"/>
          <w:i w:val="1"/>
          <w:iCs w:val="1"/>
          <w:color w:val="auto"/>
        </w:rPr>
        <w:t>Confirming Release</w:t>
      </w:r>
      <w:r>
        <w:rPr>
          <w:rFonts w:ascii="Times New Roman" w:cs="Times New Roman" w:eastAsia="Times New Roman" w:hAnsi="Times New Roman"/>
          <w:sz w:val="22"/>
          <w:szCs w:val="22"/>
          <w:color w:val="auto"/>
        </w:rPr>
        <w:t>”) is that certain Confirming Release referenced in Section 8 of the Separation and General Release Agreement (the “</w:t>
      </w:r>
      <w:r>
        <w:rPr>
          <w:rFonts w:ascii="Times New Roman" w:cs="Times New Roman" w:eastAsia="Times New Roman" w:hAnsi="Times New Roman"/>
          <w:sz w:val="22"/>
          <w:szCs w:val="22"/>
          <w:b w:val="1"/>
          <w:bCs w:val="1"/>
          <w:i w:val="1"/>
          <w:iCs w:val="1"/>
          <w:color w:val="auto"/>
        </w:rPr>
        <w:t>Separation Agreement</w:t>
      </w:r>
      <w:r>
        <w:rPr>
          <w:rFonts w:ascii="Times New Roman" w:cs="Times New Roman" w:eastAsia="Times New Roman" w:hAnsi="Times New Roman"/>
          <w:sz w:val="22"/>
          <w:szCs w:val="22"/>
          <w:color w:val="auto"/>
        </w:rPr>
        <w:t>”), entered into by and between comScore,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David Algranati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Pursuant to Section 8 of the Separation Agreement, this Confirming Release will be executed on the Separation Date or within 21 days thereafter. Unless sooner revoked by Executive pursuant to the terms of Section 5 below, this Confirming Release becomes effective on the eighth day after Executive signs it. Capitalized terms used herein that are not otherwise defined have the meanings assigned to them in the Separation Agreement. In signing below, Executive agrees as follows:</w:t>
      </w:r>
    </w:p>
    <w:p>
      <w:pPr>
        <w:spacing w:after="0" w:line="174"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Release of Claims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56"/>
        <w:spacing w:after="0" w:line="258" w:lineRule="auto"/>
        <w:tabs>
          <w:tab w:leader="none" w:pos="1293"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good and valuable consideration, including the Company’s agreement to provide the consideration set forth in Section 2 of the Separation Agreement (and any portion thereof), Executive hereby forever releases, discharges and acquits the Company, its present and former subsidiaries and other affiliates, and each of the foregoing entities’ respective past, present and future subsidiaries, affiliates, stockholders, members, partners, directors, officers, managers, employees, agents, attorneys, heirs, predecessors, successors and representatives in their personal and representative capacities, as well as all employee benefit plans maintained by the Company or any of its affiliates and all fiduciaries and administrators of any such plans, in their personal and representative capacities (each a “</w:t>
      </w:r>
      <w:r>
        <w:rPr>
          <w:rFonts w:ascii="Times New Roman" w:cs="Times New Roman" w:eastAsia="Times New Roman" w:hAnsi="Times New Roman"/>
          <w:sz w:val="21"/>
          <w:szCs w:val="21"/>
          <w:b w:val="1"/>
          <w:bCs w:val="1"/>
          <w:i w:val="1"/>
          <w:iCs w:val="1"/>
          <w:color w:val="auto"/>
        </w:rPr>
        <w:t>Confirming Released Party</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i w:val="1"/>
          <w:iCs w:val="1"/>
          <w:color w:val="auto"/>
        </w:rPr>
        <w:t>Confirming Released Parties</w:t>
      </w:r>
      <w:r>
        <w:rPr>
          <w:rFonts w:ascii="Times New Roman" w:cs="Times New Roman" w:eastAsia="Times New Roman" w:hAnsi="Times New Roman"/>
          <w:sz w:val="21"/>
          <w:szCs w:val="21"/>
          <w:color w:val="auto"/>
        </w:rPr>
        <w:t>”), from liability for, and Executive hereby waives, any and all claims, damages, or causes of action of any kind, whether known or unknown, related to Executive’s employment with any Confirming Released Party, the termination of such employment, the ownership of equity in the Company, and any other acts or omissions related to any matter on or prior to the date that Executive executes this Confirming Release, whether arising under federal or state laws or the laws of any other jurisdiction, including (i) any alleged violation through such date of: (A) any federal, state or local anti-discrimination or anti-retaliation law, including the Age Discrimination in Employment Act (including as amended by the Older Workers Benefit Protection Act), Title VII of the Civil Rights Act of 1964, the Civil Rights Act of 1991, Sections 1981 through 1988 of Title 42 of the United States Code, and the Americans with Disabilities Act of 1990; (B) the Employee Retirement Income Security Act of 1974 (“</w:t>
      </w:r>
      <w:r>
        <w:rPr>
          <w:rFonts w:ascii="Times New Roman" w:cs="Times New Roman" w:eastAsia="Times New Roman" w:hAnsi="Times New Roman"/>
          <w:sz w:val="21"/>
          <w:szCs w:val="21"/>
          <w:b w:val="1"/>
          <w:bCs w:val="1"/>
          <w:i w:val="1"/>
          <w:iCs w:val="1"/>
          <w:color w:val="auto"/>
        </w:rPr>
        <w:t>ERISA</w:t>
      </w:r>
      <w:r>
        <w:rPr>
          <w:rFonts w:ascii="Times New Roman" w:cs="Times New Roman" w:eastAsia="Times New Roman" w:hAnsi="Times New Roman"/>
          <w:sz w:val="21"/>
          <w:szCs w:val="21"/>
          <w:color w:val="auto"/>
        </w:rPr>
        <w:t>”); (C) the Immigration Reform Control Act; (D) the Family and Medical Leave Act of 1993; (E) any federal, state or local wage and hour law; (F) the Securities Act of 1933; (G) the Securities Exchange Act of 1934; (H) the Investment Advisers Act of 1940; (I) the Investment Company Act of 1940; (J) the Private Securities Litigation Reform Act of 1995; (K) the Sarbanes-Oxley Act of 2002;</w:t>
      </w:r>
    </w:p>
    <w:p>
      <w:pPr>
        <w:spacing w:after="0" w:line="8" w:lineRule="exact"/>
        <w:rPr>
          <w:rFonts w:ascii="Times New Roman" w:cs="Times New Roman" w:eastAsia="Times New Roman" w:hAnsi="Times New Roman"/>
          <w:sz w:val="21"/>
          <w:szCs w:val="21"/>
          <w:color w:val="auto"/>
        </w:rPr>
      </w:pPr>
    </w:p>
    <w:p>
      <w:pPr>
        <w:jc w:val="both"/>
        <w:ind w:firstLine="8"/>
        <w:spacing w:after="0" w:line="252" w:lineRule="auto"/>
        <w:tabs>
          <w:tab w:leader="none" w:pos="34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Wall Street Reform and Consumer Protection Act of 2010; (M) the New York State Human Rights Law, the New York Labor Law, the New York Retaliatory Action By Employers Law, Section 125 of the New York Workers’ Compensation Law, Article 23-A of the New York Correction Law, the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York Civil Rights Law, the New York Wage-Hour Law, the New York Workers’ Compensation Law, the New York Wage Payment Law, the New York City Human Rights Law, the New York City Earned Sick Leave Law, the New Jersey Law Against Discrimination, the New Jersey Conscientious Employee Protection Act, the New Jersey Civil Rights Act, the New Jersey Family Leave Act, the New Jersey Wage Payment Law, the New Jersey Wage and Hour Law, the New Jersey Equal Pay Act, and retaliation claims under the New Jersey Workers’ Compensation Law; (N) any applicable state employment and securities laws;</w:t>
      </w:r>
    </w:p>
    <w:p>
      <w:pPr>
        <w:spacing w:after="0" w:line="2" w:lineRule="exact"/>
        <w:rPr>
          <w:sz w:val="20"/>
          <w:szCs w:val="20"/>
          <w:color w:val="auto"/>
        </w:rPr>
      </w:pPr>
    </w:p>
    <w:p>
      <w:pPr>
        <w:jc w:val="both"/>
        <w:ind w:firstLine="8"/>
        <w:spacing w:after="0" w:line="256" w:lineRule="auto"/>
        <w:tabs>
          <w:tab w:leader="none" w:pos="356"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local, state or federal law, regulation, ordinance or orders which may have afforded any legal or equitable causes of action of any nature; (P) any public policy, contract, tort, or common law claim, including any claim for defamation, emotional distress, fraud or misrepresentation of any kind, promissory estoppel, breach of any implied duty of good faith and fair dealing, breach of implied or express contract, breach of fiduciary duty or wrongful discharge; or (Q) any claim, whether direct or derivative, arising from being a shareholder of the Company or any other Confirming Released Party; (ii) any allegation for costs, fees, or other expenses including attorneys’ fees incurred in, or with respect to, a Further Released Claim (as defined below); (iii) any and all rights, benefits, or claims Executive may have under any employment contract (including the Severance Agreement and the Change of Control Agreement), any incentive or compensation plan or agreement, or any other benefit plan, program or practice; and (iv) any claim for compensation, damages or benefits of any kind not expressly set forth in the Separation Agreement (collectively, the “</w:t>
      </w:r>
      <w:r>
        <w:rPr>
          <w:rFonts w:ascii="Times New Roman" w:cs="Times New Roman" w:eastAsia="Times New Roman" w:hAnsi="Times New Roman"/>
          <w:sz w:val="21"/>
          <w:szCs w:val="21"/>
          <w:b w:val="1"/>
          <w:bCs w:val="1"/>
          <w:i w:val="1"/>
          <w:iCs w:val="1"/>
          <w:color w:val="auto"/>
        </w:rPr>
        <w:t>Further Released Claims</w:t>
      </w:r>
      <w:r>
        <w:rPr>
          <w:rFonts w:ascii="Times New Roman" w:cs="Times New Roman" w:eastAsia="Times New Roman" w:hAnsi="Times New Roman"/>
          <w:sz w:val="21"/>
          <w:szCs w:val="21"/>
          <w:color w:val="auto"/>
        </w:rPr>
        <w:t xml:space="preserve">”). This Confirming Release is not intended to indicate that any such claims exist or that, if they do exist, they are meritorious. Rather, Executive is simply agreeing that, in exchange for any consideration received by Executive under the Separation Agreement, any and all potential claims of this nature that Executive may have against any of the Confirming Released Parties, regardless of whether they actually exist, are expressly settled, compromised and waived. </w:t>
      </w:r>
      <w:r>
        <w:rPr>
          <w:rFonts w:ascii="Times New Roman" w:cs="Times New Roman" w:eastAsia="Times New Roman" w:hAnsi="Times New Roman"/>
          <w:sz w:val="21"/>
          <w:szCs w:val="21"/>
          <w:b w:val="1"/>
          <w:bCs w:val="1"/>
          <w:color w:val="auto"/>
        </w:rPr>
        <w:t>THIS RELEASE INCLUDES MATTERS ATTRIBUTABLE TO THE SOLE OR PARTIAL</w:t>
      </w:r>
    </w:p>
    <w:p>
      <w:pPr>
        <w:spacing w:after="0" w:line="13" w:lineRule="exact"/>
        <w:rPr>
          <w:rFonts w:ascii="Times New Roman" w:cs="Times New Roman" w:eastAsia="Times New Roman" w:hAnsi="Times New Roman"/>
          <w:sz w:val="21"/>
          <w:szCs w:val="21"/>
          <w:color w:val="auto"/>
        </w:rPr>
      </w:pPr>
    </w:p>
    <w:p>
      <w:pPr>
        <w:ind w:right="20"/>
        <w:spacing w:after="0" w:line="25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NEGLIGENCE (WHETHER GROSS OR SIMPLE) OR OTHER FAULT, INCLUDING STRICT LIABILITY, OF ANY OF THE CONFIRMING RELEASED PARTIES</w:t>
      </w:r>
      <w:r>
        <w:rPr>
          <w:rFonts w:ascii="Times New Roman" w:cs="Times New Roman" w:eastAsia="Times New Roman" w:hAnsi="Times New Roman"/>
          <w:sz w:val="22"/>
          <w:szCs w:val="22"/>
          <w:color w:val="auto"/>
        </w:rPr>
        <w:t>.</w:t>
      </w:r>
    </w:p>
    <w:p>
      <w:pPr>
        <w:spacing w:after="0" w:line="170" w:lineRule="exact"/>
        <w:rPr>
          <w:rFonts w:ascii="Times New Roman" w:cs="Times New Roman" w:eastAsia="Times New Roman" w:hAnsi="Times New Roman"/>
          <w:sz w:val="21"/>
          <w:szCs w:val="21"/>
          <w:color w:val="auto"/>
        </w:rPr>
      </w:pPr>
    </w:p>
    <w:p>
      <w:pPr>
        <w:jc w:val="both"/>
        <w:ind w:firstLine="656"/>
        <w:spacing w:after="0" w:line="253" w:lineRule="auto"/>
        <w:tabs>
          <w:tab w:leader="none" w:pos="1291"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Further Released Claims include (i) any claim that arises after the date this Confirming Release is executed by Executive; (ii) any claim to vested benefits under an employee benefit plan that is subject to ERISA and that ERISA prevents from being released pursuant to a release agreement; or (iii) any claims that cannot be waived as a matter of law, including claims for unemployment compensation benefits, Medicaid benefits, workers’ compensation insurance benefits or other public benefits to which Executive may be entitled.</w:t>
      </w:r>
    </w:p>
    <w:p>
      <w:pPr>
        <w:spacing w:after="0" w:line="174"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3"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this release of liability, </w:t>
      </w:r>
      <w:r>
        <w:rPr>
          <w:rFonts w:ascii="Times New Roman" w:cs="Times New Roman" w:eastAsia="Times New Roman" w:hAnsi="Times New Roman"/>
          <w:sz w:val="22"/>
          <w:szCs w:val="22"/>
          <w:i w:val="1"/>
          <w:iCs w:val="1"/>
          <w:color w:val="auto"/>
        </w:rPr>
        <w:t>nothing in this Confirming Release prevents Executive from filing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non-legally waivable claim, including a challenge to the validity of this Confirming Release, with the Equal Employment Opportunity Commission, Securities and Exchange Commission, or any other federal, state or local governmental agency or commission (each a “</w:t>
      </w:r>
      <w:r>
        <w:rPr>
          <w:rFonts w:ascii="Times New Roman" w:cs="Times New Roman" w:eastAsia="Times New Roman" w:hAnsi="Times New Roman"/>
          <w:sz w:val="22"/>
          <w:szCs w:val="22"/>
          <w:b w:val="1"/>
          <w:bCs w:val="1"/>
          <w:i w:val="1"/>
          <w:iCs w:val="1"/>
          <w:color w:val="auto"/>
        </w:rPr>
        <w:t>Governmental Agency</w:t>
      </w:r>
      <w:r>
        <w:rPr>
          <w:rFonts w:ascii="Times New Roman" w:cs="Times New Roman" w:eastAsia="Times New Roman" w:hAnsi="Times New Roman"/>
          <w:sz w:val="22"/>
          <w:szCs w:val="22"/>
          <w:i w:val="1"/>
          <w:iCs w:val="1"/>
          <w:color w:val="auto"/>
        </w:rPr>
        <w:t>” and collectively “</w:t>
      </w:r>
      <w:r>
        <w:rPr>
          <w:rFonts w:ascii="Times New Roman" w:cs="Times New Roman" w:eastAsia="Times New Roman" w:hAnsi="Times New Roman"/>
          <w:sz w:val="22"/>
          <w:szCs w:val="22"/>
          <w:b w:val="1"/>
          <w:bCs w:val="1"/>
          <w:i w:val="1"/>
          <w:iCs w:val="1"/>
          <w:color w:val="auto"/>
        </w:rPr>
        <w:t>Governmental Agencies</w:t>
      </w:r>
      <w:r>
        <w:rPr>
          <w:rFonts w:ascii="Times New Roman" w:cs="Times New Roman" w:eastAsia="Times New Roman" w:hAnsi="Times New Roman"/>
          <w:sz w:val="22"/>
          <w:szCs w:val="22"/>
          <w:i w:val="1"/>
          <w:iCs w:val="1"/>
          <w:color w:val="auto"/>
        </w:rPr>
        <w:t>”) or participating in (or cooperating with) any investigation or proceeding conducted by any Governmental Agency; however, Executive understands and agrees that, to the extent permitted by law, Executive is waiving any and all rights to recover any monetary or personal relief or recovery from any Confirming Released Party as a result of a Governmental Agency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i w:val="1"/>
          <w:iCs w:val="1"/>
          <w:color w:val="auto"/>
        </w:rPr>
        <w:t>or subsequent legal actions</w:t>
      </w:r>
      <w:r>
        <w:rPr>
          <w:rFonts w:ascii="Times New Roman" w:cs="Times New Roman" w:eastAsia="Times New Roman" w:hAnsi="Times New Roman"/>
          <w:sz w:val="22"/>
          <w:szCs w:val="22"/>
          <w:color w:val="auto"/>
        </w:rPr>
        <w:t>. Nothing herein waives or limits (and the Further Released Claims do not include) Executive’s right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receive an award for information provided to a Governmental Agency (including, for the avoidance of doubt, any monetary award or bounty from any Governmental Agency or regulatory or law enforcement authority in connection with any protected “whistleblower” activity) and nothing herein or in any other agreement between Executive and any Confirming Released Party shall prohibit or restrict Executive from (x) initiating communications with, providing information or making statements to, causing information to be provided to, or otherwise assisting in an investigation by, any Governmental Agency; (y) complying with a subpoena or responding to any inquiry or legal process directed to Executive from any Governmental Agency; or (z) making any disclosures that are protected under the whistleblower provisions of any applicable law. Further, nothing herein (or in the NDA) prevents or restricts Executive from (i) disclosing or making statements about any claim of discrimination, harassment or retaliation or any underlying facts, circumstances, or details of any claim or action for discrimination, harassment, or retaliation; or (ii) disclosing any facts necessary to receive unemployment insurance, Medicaid, or other public benefits. Nothing in this Confirming Release or in any other agreement between Executive and any Confirming Released Party requires Executive to obtain prior authorization before engaging in any conduct described in this Section 1(c) or to notify any Confirming Released Party that Executive has engaged in any such conduct.</w:t>
      </w:r>
    </w:p>
    <w:p>
      <w:pPr>
        <w:spacing w:after="0" w:line="203" w:lineRule="exact"/>
        <w:rPr>
          <w:sz w:val="20"/>
          <w:szCs w:val="20"/>
          <w:color w:val="auto"/>
        </w:rPr>
      </w:pPr>
    </w:p>
    <w:p>
      <w:pPr>
        <w:jc w:val="both"/>
        <w:ind w:firstLine="656"/>
        <w:spacing w:after="0" w:line="259" w:lineRule="auto"/>
        <w:tabs>
          <w:tab w:leader="none" w:pos="1296"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 about Claims</w:t>
      </w:r>
      <w:r>
        <w:rPr>
          <w:rFonts w:ascii="Times New Roman" w:cs="Times New Roman" w:eastAsia="Times New Roman" w:hAnsi="Times New Roman"/>
          <w:sz w:val="22"/>
          <w:szCs w:val="22"/>
          <w:color w:val="auto"/>
        </w:rPr>
        <w:t>. Executive represents and warrants that Executive has made no assignment, sale,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delivery, transfer or conveyance of any claims Executive has asserted or may have against any of the Further Released Parties with respect to any Further Released Claim.</w:t>
      </w:r>
    </w:p>
    <w:p>
      <w:pPr>
        <w:spacing w:after="0" w:line="166" w:lineRule="exact"/>
        <w:rPr>
          <w:rFonts w:ascii="Times New Roman" w:cs="Times New Roman" w:eastAsia="Times New Roman" w:hAnsi="Times New Roman"/>
          <w:sz w:val="22"/>
          <w:szCs w:val="22"/>
          <w:b w:val="1"/>
          <w:bCs w:val="1"/>
          <w:color w:val="auto"/>
        </w:rPr>
      </w:pPr>
    </w:p>
    <w:p>
      <w:pPr>
        <w:jc w:val="both"/>
        <w:ind w:firstLine="656"/>
        <w:spacing w:after="0" w:line="251" w:lineRule="auto"/>
        <w:tabs>
          <w:tab w:leader="none" w:pos="1296"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Satisfaction of Severance Obligations; Receipt of Leaves, Bonuses, and Other Compensation</w:t>
      </w:r>
      <w:r>
        <w:rPr>
          <w:rFonts w:ascii="Times New Roman" w:cs="Times New Roman" w:eastAsia="Times New Roman" w:hAnsi="Times New Roman"/>
          <w:sz w:val="22"/>
          <w:szCs w:val="22"/>
          <w:color w:val="auto"/>
        </w:rPr>
        <w:t>.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acknowledges and agrees that, with the exception of any base salary earned by Executive in the pay period in which the Separation Date occurred (if such base salary has not been paid as of the time that Executive executes this Confirming Release) and any sums to which Executive may be entitled following the date that Executive signs this Confirming Release pursuant to Section 2 of the Separation Agreement, Executive has been paid in full all bonuses, been provided all benefits, and otherwise received all wages, compensation, and other sums that Executive has been owed by each Confirming Released Party. Executive further acknowledges and agrees that Executive has received all leaves (paid and unpaid) that Executive has been entitled to receive from each Confirming Released Party.</w:t>
      </w:r>
    </w:p>
    <w:p>
      <w:pPr>
        <w:spacing w:after="0" w:line="178" w:lineRule="exact"/>
        <w:rPr>
          <w:rFonts w:ascii="Times New Roman" w:cs="Times New Roman" w:eastAsia="Times New Roman" w:hAnsi="Times New Roman"/>
          <w:sz w:val="22"/>
          <w:szCs w:val="22"/>
          <w:b w:val="1"/>
          <w:bCs w:val="1"/>
          <w:color w:val="auto"/>
        </w:rPr>
      </w:pPr>
    </w:p>
    <w:p>
      <w:pPr>
        <w:jc w:val="both"/>
        <w:ind w:right="20" w:firstLine="656"/>
        <w:spacing w:after="0" w:line="259" w:lineRule="auto"/>
        <w:tabs>
          <w:tab w:leader="none" w:pos="1296"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Executive’s Acknowledgments; Advice to Consult with Legal Counsel</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This is an important legal document,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 xml:space="preserve">and the Company hereby advises Executive to consult with a lawyer of Executive’s choosing before signing this Confirming Release. </w:t>
      </w:r>
      <w:r>
        <w:rPr>
          <w:rFonts w:ascii="Times New Roman" w:cs="Times New Roman" w:eastAsia="Times New Roman" w:hAnsi="Times New Roman"/>
          <w:sz w:val="22"/>
          <w:szCs w:val="22"/>
          <w:color w:val="auto"/>
        </w:rPr>
        <w:t>By executing and delivering this Confirming Release, Executive expressly acknowledges and represents that:</w:t>
      </w:r>
    </w:p>
    <w:p>
      <w:pPr>
        <w:spacing w:after="0" w:line="170" w:lineRule="exact"/>
        <w:rPr>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carefully read this Confirming Release;</w:t>
      </w:r>
    </w:p>
    <w:p>
      <w:pPr>
        <w:spacing w:after="0" w:line="219" w:lineRule="exact"/>
        <w:rPr>
          <w:rFonts w:ascii="Times New Roman" w:cs="Times New Roman" w:eastAsia="Times New Roman" w:hAnsi="Times New Roman"/>
          <w:sz w:val="22"/>
          <w:szCs w:val="22"/>
          <w:color w:val="auto"/>
        </w:rPr>
      </w:pPr>
    </w:p>
    <w:p>
      <w:pPr>
        <w:ind w:firstLine="656"/>
        <w:spacing w:after="0" w:line="284" w:lineRule="auto"/>
        <w:tabs>
          <w:tab w:leader="none" w:pos="129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had sufficient time (and at least twenty-one (21) days) to consider this Confirming Release before its execution and delivery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98" w:lineRule="exact"/>
        <w:rPr>
          <w:sz w:val="20"/>
          <w:szCs w:val="20"/>
          <w:color w:val="auto"/>
        </w:rPr>
      </w:pPr>
    </w:p>
    <w:p>
      <w:pPr>
        <w:ind w:left="-20" w:firstLine="656"/>
        <w:spacing w:after="0" w:line="271" w:lineRule="auto"/>
        <w:tabs>
          <w:tab w:leader="none" w:pos="127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is receiving, pursuant to the Separation Agreement and Executive’s execution of this Confirming Release, consideration in addition to anything of value to which Executive is already entitled;</w:t>
      </w:r>
    </w:p>
    <w:p>
      <w:pPr>
        <w:spacing w:after="0" w:line="157" w:lineRule="exact"/>
        <w:rPr>
          <w:rFonts w:ascii="Times New Roman" w:cs="Times New Roman" w:eastAsia="Times New Roman" w:hAnsi="Times New Roman"/>
          <w:sz w:val="22"/>
          <w:szCs w:val="22"/>
          <w:color w:val="auto"/>
        </w:rPr>
      </w:pPr>
    </w:p>
    <w:p>
      <w:pPr>
        <w:jc w:val="both"/>
        <w:ind w:left="-20" w:firstLine="656"/>
        <w:spacing w:after="0" w:line="263" w:lineRule="auto"/>
        <w:tabs>
          <w:tab w:leader="none" w:pos="127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been advised, and hereby is advised in writing, to discuss this Confirming Release with an attorney before signing this Confirming Release, and Executive has had adequate opportunity to do so prior to executing this Confirming Release;</w:t>
      </w:r>
    </w:p>
    <w:p>
      <w:pPr>
        <w:spacing w:after="0" w:line="167" w:lineRule="exact"/>
        <w:rPr>
          <w:rFonts w:ascii="Times New Roman" w:cs="Times New Roman" w:eastAsia="Times New Roman" w:hAnsi="Times New Roman"/>
          <w:sz w:val="22"/>
          <w:szCs w:val="22"/>
          <w:color w:val="auto"/>
        </w:rPr>
      </w:pPr>
    </w:p>
    <w:p>
      <w:pPr>
        <w:ind w:left="-20" w:firstLine="656"/>
        <w:spacing w:after="0" w:line="271" w:lineRule="auto"/>
        <w:tabs>
          <w:tab w:leader="none" w:pos="127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fully understands the final and binding effect of this Confirming Release, and the only promises made to Executive to sign this Confirming Release are those stated herein and in the Separation Agreement;</w:t>
      </w:r>
    </w:p>
    <w:p>
      <w:pPr>
        <w:spacing w:after="0" w:line="157" w:lineRule="exact"/>
        <w:rPr>
          <w:rFonts w:ascii="Times New Roman" w:cs="Times New Roman" w:eastAsia="Times New Roman" w:hAnsi="Times New Roman"/>
          <w:sz w:val="22"/>
          <w:szCs w:val="22"/>
          <w:color w:val="auto"/>
        </w:rPr>
      </w:pPr>
    </w:p>
    <w:p>
      <w:pPr>
        <w:jc w:val="both"/>
        <w:ind w:left="-20" w:firstLine="656"/>
        <w:spacing w:after="0" w:line="263" w:lineRule="auto"/>
        <w:tabs>
          <w:tab w:leader="none" w:pos="127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is signing this Confirming Release knowingly, voluntarily and of Executive’s own free will; Executive relies on Executive’s own judgment in entering into this Confirming Release; and Executive understands and agrees to each of the terms of this Confirming Release;</w:t>
      </w:r>
    </w:p>
    <w:p>
      <w:pPr>
        <w:spacing w:after="0" w:line="167" w:lineRule="exact"/>
        <w:rPr>
          <w:rFonts w:ascii="Times New Roman" w:cs="Times New Roman" w:eastAsia="Times New Roman" w:hAnsi="Times New Roman"/>
          <w:sz w:val="22"/>
          <w:szCs w:val="22"/>
          <w:color w:val="auto"/>
        </w:rPr>
      </w:pPr>
    </w:p>
    <w:p>
      <w:pPr>
        <w:jc w:val="both"/>
        <w:ind w:left="-20" w:firstLine="656"/>
        <w:spacing w:after="0" w:line="268" w:lineRule="auto"/>
        <w:tabs>
          <w:tab w:leader="none" w:pos="1271"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only matters relied upon by Executive and causing Executive to sign this Confirming Release are the provisions set forth in writing within the four corners of this Confirming Release and the Separation Agreement, and in entering this Confirming Release, Executive has not relied on any representation or statement, written or oral, of any Confirming Released Party or Confirming Released Party’s agent that is not set forth in this Confirming Release or the Separation Agreement; and</w:t>
      </w:r>
    </w:p>
    <w:p>
      <w:pPr>
        <w:spacing w:after="0" w:line="176" w:lineRule="exact"/>
        <w:rPr>
          <w:rFonts w:ascii="Times New Roman" w:cs="Times New Roman" w:eastAsia="Times New Roman" w:hAnsi="Times New Roman"/>
          <w:sz w:val="21"/>
          <w:szCs w:val="21"/>
          <w:color w:val="auto"/>
        </w:rPr>
      </w:pPr>
    </w:p>
    <w:p>
      <w:pPr>
        <w:jc w:val="both"/>
        <w:ind w:left="-20" w:firstLine="656"/>
        <w:spacing w:after="0" w:line="252" w:lineRule="auto"/>
        <w:tabs>
          <w:tab w:leader="none" w:pos="127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Confirming Released Party has provided any tax or legal advice regarding this Confirming Release or the Separation Agreement, and Executive has had an adequate opportunity to receive sufficient tax and legal advice from advisors of Executive’s own choosing such that Executive enters into this Confirming Release with full understanding of the tax and legal implications thereof.</w:t>
      </w:r>
    </w:p>
    <w:p>
      <w:pPr>
        <w:spacing w:after="0" w:line="175" w:lineRule="exact"/>
        <w:rPr>
          <w:sz w:val="20"/>
          <w:szCs w:val="20"/>
          <w:color w:val="auto"/>
        </w:rPr>
      </w:pPr>
    </w:p>
    <w:p>
      <w:pPr>
        <w:jc w:val="both"/>
        <w:ind w:left="-20" w:firstLine="656"/>
        <w:spacing w:after="0" w:line="250" w:lineRule="auto"/>
        <w:tabs>
          <w:tab w:leader="none" w:pos="1276"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Revocation Right</w:t>
      </w:r>
      <w:r>
        <w:rPr>
          <w:rFonts w:ascii="Times New Roman" w:cs="Times New Roman" w:eastAsia="Times New Roman" w:hAnsi="Times New Roman"/>
          <w:sz w:val="22"/>
          <w:szCs w:val="22"/>
          <w:color w:val="auto"/>
        </w:rPr>
        <w:t>. Executive has seven (7) days after signing this Confirming Release to revoke it (such seven-day period being referred to herein as the “</w:t>
      </w:r>
      <w:r>
        <w:rPr>
          <w:rFonts w:ascii="Times New Roman" w:cs="Times New Roman" w:eastAsia="Times New Roman" w:hAnsi="Times New Roman"/>
          <w:sz w:val="22"/>
          <w:szCs w:val="22"/>
          <w:b w:val="1"/>
          <w:bCs w:val="1"/>
          <w:i w:val="1"/>
          <w:iCs w:val="1"/>
          <w:color w:val="auto"/>
        </w:rPr>
        <w:t>Confirming Release Revocation Period</w:t>
      </w:r>
      <w:r>
        <w:rPr>
          <w:rFonts w:ascii="Times New Roman" w:cs="Times New Roman" w:eastAsia="Times New Roman" w:hAnsi="Times New Roman"/>
          <w:sz w:val="22"/>
          <w:szCs w:val="22"/>
          <w:color w:val="auto"/>
        </w:rPr>
        <w:t>”). This Confirming Release will not become effective or enforceable unless the Confirming Release Revocation Period has expired without Executive exercising Executive’s revocation right. To be effective, such revocation must be in writing received by the Company, care of Sara Dunn, Chief People Officer, via e-mail at [___] so that it is received by Ms. Dunn no later than 11:59 p.m. in the time zone in which Executive resides, on the last day of the Confirming Release Revocation Period. If an effective revocation is delivered in the foregoing manner and timeframe, then no consideration shall be provided to Executive pursuant to Section 2 of the Separation Agreement, and this Confirming Release shall be of no force or effect, but the remaining provisions of the Separation Agreement (other than Section 2 thereof) shall remain in full force and effect.</w:t>
      </w:r>
    </w:p>
    <w:p>
      <w:pPr>
        <w:spacing w:after="0" w:line="179" w:lineRule="exact"/>
        <w:rPr>
          <w:rFonts w:ascii="Times New Roman" w:cs="Times New Roman" w:eastAsia="Times New Roman" w:hAnsi="Times New Roman"/>
          <w:sz w:val="22"/>
          <w:szCs w:val="22"/>
          <w:b w:val="1"/>
          <w:bCs w:val="1"/>
          <w:color w:val="auto"/>
        </w:rPr>
      </w:pPr>
    </w:p>
    <w:p>
      <w:pPr>
        <w:jc w:val="both"/>
        <w:ind w:left="-20" w:firstLine="656"/>
        <w:spacing w:after="0" w:line="259" w:lineRule="auto"/>
        <w:tabs>
          <w:tab w:leader="none" w:pos="1276"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Return of Property</w:t>
      </w:r>
      <w:r>
        <w:rPr>
          <w:rFonts w:ascii="Times New Roman" w:cs="Times New Roman" w:eastAsia="Times New Roman" w:hAnsi="Times New Roman"/>
          <w:sz w:val="22"/>
          <w:szCs w:val="22"/>
          <w:color w:val="auto"/>
        </w:rPr>
        <w:t>. Executive warrants that Executive has returned to the Company all property belonging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or any other Confirming Released Party, including all documents, computer files and other electronically stored information, client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20"/>
          </w:cols>
          <w:pgMar w:left="340" w:top="1440" w:right="339" w:bottom="1440" w:gutter="0" w:footer="0" w:header="0"/>
        </w:sectPr>
      </w:pPr>
    </w:p>
    <w:bookmarkStart w:id="121" w:name="page122"/>
    <w:bookmarkEnd w:id="121"/>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materials and other materials provided to Executive by the Company or any other Confirming Released Party in the course of Executive’s employment, and Executive further represents and warrants that Executive has not maintained a copy of any such materials in any form.</w:t>
      </w:r>
    </w:p>
    <w:p>
      <w:pPr>
        <w:spacing w:after="0" w:line="18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EXECUTIVE HAS CAREFULLY READ THIS CONFIRMING RELEASE, FULLY UNDERSTANDS THIS CONFIRMING RELEASE, AND SIGNS IT AS EXECUTIVE’S OWN FREE ACT.</w:t>
      </w:r>
    </w:p>
    <w:p>
      <w:pPr>
        <w:spacing w:after="0" w:line="200" w:lineRule="exact"/>
        <w:rPr>
          <w:sz w:val="20"/>
          <w:szCs w:val="20"/>
          <w:color w:val="auto"/>
        </w:rPr>
      </w:pPr>
    </w:p>
    <w:p>
      <w:pPr>
        <w:spacing w:after="0" w:line="28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David Algranati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11887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2">
                      <a:extLst>
                        <a:ext uri="{28A0092B-C50C-407E-A947-70E740481C1C}"/>
                      </a:extLst>
                    </a:blip>
                    <a:srcRect/>
                    <a:stretch>
                      <a:fillRect/>
                    </a:stretch>
                  </pic:blipFill>
                  <pic:spPr bwMode="auto">
                    <a:xfrm>
                      <a:off x="0" y="0"/>
                      <a:ext cx="1188720" cy="8255"/>
                    </a:xfrm>
                    <a:prstGeom prst="rect">
                      <a:avLst/>
                    </a:prstGeom>
                    <a:noFill/>
                  </pic:spPr>
                </pic:pic>
              </a:graphicData>
            </a:graphic>
          </wp:anchor>
        </w:drawing>
      </w:r>
    </w:p>
    <w:p>
      <w:pPr>
        <w:spacing w:after="0" w:line="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David Algranati</w:t>
      </w:r>
    </w:p>
    <w:p>
      <w:pPr>
        <w:spacing w:after="0" w:line="200" w:lineRule="exact"/>
        <w:rPr>
          <w:sz w:val="20"/>
          <w:szCs w:val="20"/>
          <w:color w:val="auto"/>
        </w:rPr>
      </w:pPr>
    </w:p>
    <w:p>
      <w:pPr>
        <w:spacing w:after="0" w:line="21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Date: 2/4/2025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2908300</wp:posOffset>
            </wp:positionH>
            <wp:positionV relativeFrom="paragraph">
              <wp:posOffset>-13970</wp:posOffset>
            </wp:positionV>
            <wp:extent cx="6248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3">
                      <a:extLst>
                        <a:ext uri="{28A0092B-C50C-407E-A947-70E740481C1C}"/>
                      </a:extLst>
                    </a:blip>
                    <a:srcRect/>
                    <a:stretch>
                      <a:fillRect/>
                    </a:stretch>
                  </pic:blipFill>
                  <pic:spPr bwMode="auto">
                    <a:xfrm>
                      <a:off x="0" y="0"/>
                      <a:ext cx="624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0"/>
          <w:szCs w:val="20"/>
          <w:b w:val="1"/>
          <w:bCs w:val="1"/>
          <w:color w:val="auto"/>
        </w:rPr>
        <w:t>Exhibit 10.55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SPECIFIC TERMS IN THIS EXHIBIT HAVE BEEN REDACTED BECAUSE SUCH TERMS ARE BOTH NOT MATERIAL AND OF THE TYPE THAT THE REGISTRANT TREATS AS PRIVATE AND CONFIDENTIAL. THESE REDACTED TERMS HAVE BEEN MARKED IN THIS EXHIBIT WITH THREE ASTERISKS [***].</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THIRD AMENDMENT TO DATA LICENSE AGREEMENT</w:t>
      </w:r>
    </w:p>
    <w:p>
      <w:pPr>
        <w:spacing w:after="0" w:line="216" w:lineRule="exact"/>
        <w:rPr>
          <w:sz w:val="20"/>
          <w:szCs w:val="20"/>
          <w:color w:val="auto"/>
        </w:rPr>
      </w:pPr>
    </w:p>
    <w:p>
      <w:pPr>
        <w:jc w:val="both"/>
        <w:ind w:firstLine="639"/>
        <w:spacing w:after="0" w:line="263" w:lineRule="auto"/>
        <w:rPr>
          <w:sz w:val="20"/>
          <w:szCs w:val="20"/>
          <w:color w:val="auto"/>
        </w:rPr>
      </w:pPr>
      <w:r>
        <w:rPr>
          <w:rFonts w:ascii="Times New Roman" w:cs="Times New Roman" w:eastAsia="Times New Roman" w:hAnsi="Times New Roman"/>
          <w:sz w:val="20"/>
          <w:szCs w:val="20"/>
          <w:color w:val="auto"/>
        </w:rPr>
        <w:t>This Third Amendment to Data License Agreement (this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is entered into as of the date of last signature below (the “</w:t>
      </w:r>
      <w:r>
        <w:rPr>
          <w:rFonts w:ascii="Times New Roman" w:cs="Times New Roman" w:eastAsia="Times New Roman" w:hAnsi="Times New Roman"/>
          <w:sz w:val="20"/>
          <w:szCs w:val="20"/>
          <w:b w:val="1"/>
          <w:bCs w:val="1"/>
          <w:color w:val="auto"/>
        </w:rPr>
        <w:t>Amendment Effective Date</w:t>
      </w:r>
      <w:r>
        <w:rPr>
          <w:rFonts w:ascii="Times New Roman" w:cs="Times New Roman" w:eastAsia="Times New Roman" w:hAnsi="Times New Roman"/>
          <w:sz w:val="20"/>
          <w:szCs w:val="20"/>
          <w:color w:val="auto"/>
        </w:rPr>
        <w:t>”) by and between Charter Communications Operating, LLC, a Delaware limited liability company, on behalf of itself and its Affiliates (“</w:t>
      </w:r>
      <w:r>
        <w:rPr>
          <w:rFonts w:ascii="Times New Roman" w:cs="Times New Roman" w:eastAsia="Times New Roman" w:hAnsi="Times New Roman"/>
          <w:sz w:val="20"/>
          <w:szCs w:val="20"/>
          <w:b w:val="1"/>
          <w:bCs w:val="1"/>
          <w:color w:val="auto"/>
        </w:rPr>
        <w:t>Charter</w:t>
      </w:r>
      <w:r>
        <w:rPr>
          <w:rFonts w:ascii="Times New Roman" w:cs="Times New Roman" w:eastAsia="Times New Roman" w:hAnsi="Times New Roman"/>
          <w:sz w:val="20"/>
          <w:szCs w:val="20"/>
          <w:color w:val="auto"/>
        </w:rPr>
        <w:t>”), and comScore, Inc., a Delaware corporation, on behalf of itself and its Affiliates (“</w:t>
      </w:r>
      <w:r>
        <w:rPr>
          <w:rFonts w:ascii="Times New Roman" w:cs="Times New Roman" w:eastAsia="Times New Roman" w:hAnsi="Times New Roman"/>
          <w:sz w:val="20"/>
          <w:szCs w:val="20"/>
          <w:b w:val="1"/>
          <w:bCs w:val="1"/>
          <w:color w:val="auto"/>
        </w:rPr>
        <w:t>Comscore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39"/>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Charter and Comscore entered into that certain Data License Agreement dated as of March 10, 2021 (as amended,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and</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Charter and Comscore desire to amend the Agreement in accordance with the terms and conditions contained herein.</w:t>
      </w:r>
    </w:p>
    <w:p>
      <w:pPr>
        <w:spacing w:after="0" w:line="270" w:lineRule="exact"/>
        <w:rPr>
          <w:sz w:val="20"/>
          <w:szCs w:val="20"/>
          <w:color w:val="auto"/>
        </w:rPr>
      </w:pPr>
    </w:p>
    <w:p>
      <w:pPr>
        <w:jc w:val="both"/>
        <w:ind w:firstLine="639"/>
        <w:spacing w:after="0" w:line="287"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promises set forth herein, and other good and valuable consideration,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receipt and sufficiency of which are hereby acknowledged, the Parties agree as follows:</w:t>
      </w:r>
    </w:p>
    <w:p>
      <w:pPr>
        <w:spacing w:after="0" w:line="192" w:lineRule="exact"/>
        <w:rPr>
          <w:sz w:val="20"/>
          <w:szCs w:val="20"/>
          <w:color w:val="auto"/>
        </w:rPr>
      </w:pPr>
    </w:p>
    <w:p>
      <w:pPr>
        <w:ind w:firstLine="647"/>
        <w:spacing w:after="0" w:line="287" w:lineRule="auto"/>
        <w:tabs>
          <w:tab w:leader="none" w:pos="128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Capitalized Terms</w:t>
      </w:r>
      <w:r>
        <w:rPr>
          <w:rFonts w:ascii="Times New Roman" w:cs="Times New Roman" w:eastAsia="Times New Roman" w:hAnsi="Times New Roman"/>
          <w:sz w:val="20"/>
          <w:szCs w:val="20"/>
          <w:color w:val="auto"/>
        </w:rPr>
        <w:t>. Capitalized terms used in this Amendment and not defined herein shall have the meanings ascribed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them in the Agreement.</w:t>
      </w:r>
    </w:p>
    <w:p>
      <w:pPr>
        <w:spacing w:after="0" w:line="192" w:lineRule="exact"/>
        <w:rPr>
          <w:rFonts w:ascii="Times New Roman" w:cs="Times New Roman" w:eastAsia="Times New Roman" w:hAnsi="Times New Roman"/>
          <w:sz w:val="20"/>
          <w:szCs w:val="20"/>
          <w:color w:val="auto"/>
        </w:rPr>
      </w:pPr>
    </w:p>
    <w:p>
      <w:pPr>
        <w:ind w:left="1300" w:hanging="653"/>
        <w:spacing w:after="0"/>
        <w:tabs>
          <w:tab w:leader="none" w:pos="13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 as Approved Data Provider</w:t>
      </w:r>
      <w:r>
        <w:rPr>
          <w:rFonts w:ascii="Times New Roman" w:cs="Times New Roman" w:eastAsia="Times New Roman" w:hAnsi="Times New Roman"/>
          <w:sz w:val="20"/>
          <w:szCs w:val="20"/>
          <w:color w:val="auto"/>
        </w:rPr>
        <w:t>. Exhibit F of the Agreement is hereby deleted in its entirety and replaced with Exhibit F</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attached hereto.</w:t>
      </w:r>
    </w:p>
    <w:p>
      <w:pPr>
        <w:spacing w:after="0" w:line="257" w:lineRule="exact"/>
        <w:rPr>
          <w:rFonts w:ascii="Times New Roman" w:cs="Times New Roman" w:eastAsia="Times New Roman" w:hAnsi="Times New Roman"/>
          <w:sz w:val="20"/>
          <w:szCs w:val="20"/>
          <w:color w:val="auto"/>
        </w:rPr>
      </w:pPr>
    </w:p>
    <w:p>
      <w:pPr>
        <w:jc w:val="both"/>
        <w:ind w:firstLine="647"/>
        <w:spacing w:after="0" w:line="255" w:lineRule="auto"/>
        <w:tabs>
          <w:tab w:leader="none" w:pos="128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Integration; Conflicts</w:t>
      </w:r>
      <w:r>
        <w:rPr>
          <w:rFonts w:ascii="Times New Roman" w:cs="Times New Roman" w:eastAsia="Times New Roman" w:hAnsi="Times New Roman"/>
          <w:sz w:val="20"/>
          <w:szCs w:val="20"/>
          <w:color w:val="auto"/>
        </w:rPr>
        <w:t>. This Amendment and the Agreement sets forth the entire understanding of the parties as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matter hereof and thereof. Except as modified by this Amendment, all terms and conditions of the Agreement will remain unchanged and in full force and effect. In the event of a conflict between any term or condition set forth in this Amendment and the Agreement, the terms and conditions of this Amendment shall govern and prevail.</w:t>
      </w:r>
    </w:p>
    <w:p>
      <w:pPr>
        <w:spacing w:after="0" w:line="237" w:lineRule="exact"/>
        <w:rPr>
          <w:rFonts w:ascii="Times New Roman" w:cs="Times New Roman" w:eastAsia="Times New Roman" w:hAnsi="Times New Roman"/>
          <w:sz w:val="20"/>
          <w:szCs w:val="20"/>
          <w:color w:val="auto"/>
        </w:rPr>
      </w:pPr>
    </w:p>
    <w:p>
      <w:pPr>
        <w:jc w:val="both"/>
        <w:ind w:firstLine="647"/>
        <w:spacing w:after="0" w:line="263" w:lineRule="auto"/>
        <w:tabs>
          <w:tab w:leader="none" w:pos="128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Amendment may be signed in counterparts, each of which will be deemed an original and both of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together will constitute one and the same document. A facsimile or electronically scanned signature shall have the same force and affect as an original signature.</w:t>
      </w:r>
    </w:p>
    <w:p>
      <w:pPr>
        <w:spacing w:after="0" w:line="229" w:lineRule="exact"/>
        <w:rPr>
          <w:sz w:val="20"/>
          <w:szCs w:val="20"/>
          <w:color w:val="auto"/>
        </w:rPr>
      </w:pPr>
    </w:p>
    <w:p>
      <w:pPr>
        <w:ind w:firstLine="345"/>
        <w:spacing w:after="0" w:line="315"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caused this Amendment to be executed by their duly authorized officers as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Effective Date.</w:t>
      </w:r>
    </w:p>
    <w:p>
      <w:pPr>
        <w:spacing w:after="0" w:line="179" w:lineRule="exact"/>
        <w:rPr>
          <w:sz w:val="20"/>
          <w:szCs w:val="20"/>
          <w:color w:val="auto"/>
        </w:rPr>
      </w:pPr>
    </w:p>
    <w:p>
      <w:pPr>
        <w:spacing w:after="0"/>
        <w:tabs>
          <w:tab w:leader="none" w:pos="3780" w:val="left"/>
        </w:tabs>
        <w:rPr>
          <w:sz w:val="20"/>
          <w:szCs w:val="20"/>
          <w:color w:val="auto"/>
        </w:rPr>
      </w:pPr>
      <w:r>
        <w:rPr>
          <w:rFonts w:ascii="Times New Roman" w:cs="Times New Roman" w:eastAsia="Times New Roman" w:hAnsi="Times New Roman"/>
          <w:sz w:val="20"/>
          <w:szCs w:val="20"/>
          <w:b w:val="1"/>
          <w:bCs w:val="1"/>
          <w:color w:val="auto"/>
        </w:rPr>
        <w:t>Charter Communications Operating, LLC</w:t>
      </w:r>
      <w:r>
        <w:rPr>
          <w:sz w:val="20"/>
          <w:szCs w:val="20"/>
          <w:color w:val="auto"/>
        </w:rPr>
        <w:tab/>
      </w:r>
      <w:r>
        <w:rPr>
          <w:rFonts w:ascii="Times New Roman" w:cs="Times New Roman" w:eastAsia="Times New Roman" w:hAnsi="Times New Roman"/>
          <w:sz w:val="19"/>
          <w:szCs w:val="19"/>
          <w:b w:val="1"/>
          <w:bCs w:val="1"/>
          <w:color w:val="auto"/>
        </w:rPr>
        <w:t>comScore,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Charter Communications, Inc., its manager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 /s/ David Luze</w:t>
            </w:r>
          </w:p>
        </w:tc>
        <w:tc>
          <w:tcPr>
            <w:tcW w:w="26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By: /s/ Mary Margaret Curry</w:t>
            </w:r>
          </w:p>
        </w:tc>
      </w:tr>
      <w:tr>
        <w:trPr>
          <w:trHeight w:val="20"/>
        </w:trPr>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439"/>
        </w:trPr>
        <w:tc>
          <w:tcPr>
            <w:tcW w:w="1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Date: Nov. 8, 2024</w:t>
            </w:r>
          </w:p>
        </w:tc>
        <w:tc>
          <w:tcPr>
            <w:tcW w:w="26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Date: Nov. 8, 2024</w:t>
            </w: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ectPr>
          <w:pgSz w:w="11900" w:h="16838" w:orient="portrait"/>
          <w:cols w:equalWidth="0" w:num="1">
            <w:col w:w="11240"/>
          </w:cols>
          <w:pgMar w:left="320" w:top="126"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0"/>
          <w:szCs w:val="20"/>
          <w:b w:val="1"/>
          <w:bCs w:val="1"/>
          <w:color w:val="auto"/>
        </w:rPr>
        <w:t>Exhibit 10.55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Omitted Schedule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F – Pharmaceutical Use Case Requirements</w:t>
      </w:r>
    </w:p>
    <w:p>
      <w:pPr>
        <w:sectPr>
          <w:pgSz w:w="11900" w:h="16838" w:orient="portrait"/>
          <w:cols w:equalWidth="0" w:num="1">
            <w:col w:w="11240"/>
          </w:cols>
          <w:pgMar w:left="320" w:top="126"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E26C09"/>
        </w:rPr>
        <w:t>Insider Trading Policy</w:t>
      </w:r>
    </w:p>
    <w:p>
      <w:pPr>
        <w:spacing w:after="0" w:line="11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808080"/>
        </w:rPr>
        <w:t>Amended and Restated as of September 26, 2024</w:t>
      </w:r>
    </w:p>
    <w:p>
      <w:pPr>
        <w:sectPr>
          <w:pgSz w:w="11900" w:h="16838" w:orient="portrait"/>
          <w:cols w:equalWidth="0" w:num="1">
            <w:col w:w="11240"/>
          </w:cols>
          <w:pgMar w:left="320" w:top="117" w:right="339" w:bottom="1440" w:gutter="0" w:footer="0" w:header="0"/>
        </w:sectPr>
      </w:pPr>
    </w:p>
    <w:bookmarkStart w:id="125" w:name="page126"/>
    <w:bookmarkEnd w:id="125"/>
    <w:p>
      <w:pPr>
        <w:ind w:left="4400"/>
        <w:spacing w:after="0"/>
        <w:rPr>
          <w:sz w:val="20"/>
          <w:szCs w:val="20"/>
          <w:color w:val="auto"/>
        </w:rPr>
      </w:pPr>
      <w:r>
        <w:rPr>
          <w:rFonts w:ascii="Calibri" w:cs="Calibri" w:eastAsia="Calibri" w:hAnsi="Calibri"/>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9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Calibri" w:cs="Calibri" w:eastAsia="Calibri" w:hAnsi="Calibri"/>
                <w:sz w:val="20"/>
                <w:szCs w:val="20"/>
                <w:b w:val="1"/>
                <w:bCs w:val="1"/>
                <w:color w:val="auto"/>
              </w:rPr>
              <w:t>Page</w:t>
            </w:r>
          </w:p>
        </w:tc>
      </w:tr>
      <w:tr>
        <w:trPr>
          <w:trHeight w:val="257"/>
        </w:trPr>
        <w:tc>
          <w:tcPr>
            <w:tcW w:w="7980" w:type="dxa"/>
            <w:vAlign w:val="bottom"/>
          </w:tcPr>
          <w:p>
            <w:pPr>
              <w:spacing w:after="0"/>
              <w:rPr>
                <w:sz w:val="20"/>
                <w:szCs w:val="20"/>
                <w:color w:val="auto"/>
              </w:rPr>
            </w:pPr>
            <w:r>
              <w:rPr>
                <w:rFonts w:ascii="Calibri" w:cs="Calibri" w:eastAsia="Calibri" w:hAnsi="Calibri"/>
                <w:sz w:val="20"/>
                <w:szCs w:val="20"/>
                <w:color w:val="auto"/>
              </w:rPr>
              <w:t>INTRODUCTION</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1</w:t>
            </w:r>
          </w:p>
        </w:tc>
      </w:tr>
      <w:tr>
        <w:trPr>
          <w:trHeight w:val="257"/>
        </w:trPr>
        <w:tc>
          <w:tcPr>
            <w:tcW w:w="7980" w:type="dxa"/>
            <w:vAlign w:val="bottom"/>
          </w:tcPr>
          <w:p>
            <w:pPr>
              <w:ind w:left="540"/>
              <w:spacing w:after="0"/>
              <w:rPr>
                <w:sz w:val="20"/>
                <w:szCs w:val="20"/>
                <w:color w:val="auto"/>
              </w:rPr>
            </w:pPr>
            <w:r>
              <w:rPr>
                <w:rFonts w:ascii="Calibri" w:cs="Calibri" w:eastAsia="Calibri" w:hAnsi="Calibri"/>
                <w:sz w:val="20"/>
                <w:szCs w:val="20"/>
                <w:color w:val="auto"/>
              </w:rPr>
              <w:t>Legal prohibitons on insider trading</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1</w:t>
            </w:r>
          </w:p>
        </w:tc>
      </w:tr>
      <w:tr>
        <w:trPr>
          <w:trHeight w:val="256"/>
        </w:trPr>
        <w:tc>
          <w:tcPr>
            <w:tcW w:w="7980" w:type="dxa"/>
            <w:vAlign w:val="bottom"/>
          </w:tcPr>
          <w:p>
            <w:pPr>
              <w:ind w:left="540"/>
              <w:spacing w:after="0"/>
              <w:rPr>
                <w:sz w:val="20"/>
                <w:szCs w:val="20"/>
                <w:color w:val="auto"/>
              </w:rPr>
            </w:pPr>
            <w:r>
              <w:rPr>
                <w:rFonts w:ascii="Calibri" w:cs="Calibri" w:eastAsia="Calibri" w:hAnsi="Calibri"/>
                <w:sz w:val="20"/>
                <w:szCs w:val="20"/>
                <w:color w:val="auto"/>
              </w:rPr>
              <w:t>Detecton and prosecuton of insider trading</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1</w:t>
            </w:r>
          </w:p>
        </w:tc>
      </w:tr>
      <w:tr>
        <w:trPr>
          <w:trHeight w:val="257"/>
        </w:trPr>
        <w:tc>
          <w:tcPr>
            <w:tcW w:w="7980" w:type="dxa"/>
            <w:vAlign w:val="bottom"/>
          </w:tcPr>
          <w:p>
            <w:pPr>
              <w:ind w:left="540"/>
              <w:spacing w:after="0"/>
              <w:rPr>
                <w:sz w:val="20"/>
                <w:szCs w:val="20"/>
                <w:color w:val="auto"/>
              </w:rPr>
            </w:pPr>
            <w:r>
              <w:rPr>
                <w:rFonts w:ascii="Calibri" w:cs="Calibri" w:eastAsia="Calibri" w:hAnsi="Calibri"/>
                <w:sz w:val="20"/>
                <w:szCs w:val="20"/>
                <w:color w:val="auto"/>
              </w:rPr>
              <w:t>Penaltes for violaton of insider trading laws and this Policy</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1</w:t>
            </w:r>
          </w:p>
        </w:tc>
      </w:tr>
      <w:tr>
        <w:trPr>
          <w:trHeight w:val="257"/>
        </w:trPr>
        <w:tc>
          <w:tcPr>
            <w:tcW w:w="7980" w:type="dxa"/>
            <w:vAlign w:val="bottom"/>
          </w:tcPr>
          <w:p>
            <w:pPr>
              <w:ind w:left="540"/>
              <w:spacing w:after="0"/>
              <w:rPr>
                <w:sz w:val="20"/>
                <w:szCs w:val="20"/>
                <w:color w:val="auto"/>
              </w:rPr>
            </w:pPr>
            <w:r>
              <w:rPr>
                <w:rFonts w:ascii="Calibri" w:cs="Calibri" w:eastAsia="Calibri" w:hAnsi="Calibri"/>
                <w:sz w:val="20"/>
                <w:szCs w:val="20"/>
                <w:color w:val="auto"/>
              </w:rPr>
              <w:t>Compliance Ofcer</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2</w:t>
            </w:r>
          </w:p>
        </w:tc>
      </w:tr>
      <w:tr>
        <w:trPr>
          <w:trHeight w:val="257"/>
        </w:trPr>
        <w:tc>
          <w:tcPr>
            <w:tcW w:w="7980" w:type="dxa"/>
            <w:vAlign w:val="bottom"/>
          </w:tcPr>
          <w:p>
            <w:pPr>
              <w:ind w:left="540"/>
              <w:spacing w:after="0"/>
              <w:rPr>
                <w:sz w:val="20"/>
                <w:szCs w:val="20"/>
                <w:color w:val="auto"/>
              </w:rPr>
            </w:pPr>
            <w:r>
              <w:rPr>
                <w:rFonts w:ascii="Calibri" w:cs="Calibri" w:eastAsia="Calibri" w:hAnsi="Calibri"/>
                <w:sz w:val="20"/>
                <w:szCs w:val="20"/>
                <w:color w:val="auto"/>
              </w:rPr>
              <w:t>Reportng violatons</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2</w:t>
            </w:r>
          </w:p>
        </w:tc>
      </w:tr>
      <w:tr>
        <w:trPr>
          <w:trHeight w:val="256"/>
        </w:trPr>
        <w:tc>
          <w:tcPr>
            <w:tcW w:w="7980" w:type="dxa"/>
            <w:vAlign w:val="bottom"/>
          </w:tcPr>
          <w:p>
            <w:pPr>
              <w:ind w:left="540"/>
              <w:spacing w:after="0"/>
              <w:rPr>
                <w:sz w:val="20"/>
                <w:szCs w:val="20"/>
                <w:color w:val="auto"/>
              </w:rPr>
            </w:pPr>
            <w:r>
              <w:rPr>
                <w:rFonts w:ascii="Calibri" w:cs="Calibri" w:eastAsia="Calibri" w:hAnsi="Calibri"/>
                <w:sz w:val="20"/>
                <w:szCs w:val="20"/>
                <w:color w:val="auto"/>
              </w:rPr>
              <w:t>Personal responsibility</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2</w:t>
            </w:r>
          </w:p>
        </w:tc>
      </w:tr>
      <w:tr>
        <w:trPr>
          <w:trHeight w:val="257"/>
        </w:trPr>
        <w:tc>
          <w:tcPr>
            <w:tcW w:w="7980" w:type="dxa"/>
            <w:vAlign w:val="bottom"/>
          </w:tcPr>
          <w:p>
            <w:pPr>
              <w:ind w:left="540"/>
              <w:spacing w:after="0"/>
              <w:rPr>
                <w:sz w:val="20"/>
                <w:szCs w:val="20"/>
                <w:color w:val="auto"/>
              </w:rPr>
            </w:pPr>
            <w:r>
              <w:rPr>
                <w:rFonts w:ascii="Calibri" w:cs="Calibri" w:eastAsia="Calibri" w:hAnsi="Calibri"/>
                <w:sz w:val="20"/>
                <w:szCs w:val="20"/>
                <w:color w:val="auto"/>
              </w:rPr>
              <w:t>Twenty-twenty hindsight</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2</w:t>
            </w:r>
          </w:p>
        </w:tc>
      </w:tr>
      <w:tr>
        <w:trPr>
          <w:trHeight w:val="257"/>
        </w:trPr>
        <w:tc>
          <w:tcPr>
            <w:tcW w:w="7980" w:type="dxa"/>
            <w:vAlign w:val="bottom"/>
          </w:tcPr>
          <w:p>
            <w:pPr>
              <w:ind w:left="540"/>
              <w:spacing w:after="0"/>
              <w:rPr>
                <w:sz w:val="20"/>
                <w:szCs w:val="20"/>
                <w:color w:val="auto"/>
              </w:rPr>
            </w:pPr>
            <w:r>
              <w:rPr>
                <w:rFonts w:ascii="Calibri" w:cs="Calibri" w:eastAsia="Calibri" w:hAnsi="Calibri"/>
                <w:sz w:val="20"/>
                <w:szCs w:val="20"/>
                <w:color w:val="auto"/>
              </w:rPr>
              <w:t>No circumventon</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2</w:t>
            </w:r>
          </w:p>
        </w:tc>
      </w:tr>
      <w:tr>
        <w:trPr>
          <w:trHeight w:val="311"/>
        </w:trPr>
        <w:tc>
          <w:tcPr>
            <w:tcW w:w="7980" w:type="dxa"/>
            <w:vAlign w:val="bottom"/>
          </w:tcPr>
          <w:p>
            <w:pPr>
              <w:spacing w:after="0"/>
              <w:rPr>
                <w:sz w:val="20"/>
                <w:szCs w:val="20"/>
                <w:color w:val="auto"/>
              </w:rPr>
            </w:pPr>
            <w:r>
              <w:rPr>
                <w:rFonts w:ascii="Calibri" w:cs="Calibri" w:eastAsia="Calibri" w:hAnsi="Calibri"/>
                <w:sz w:val="20"/>
                <w:szCs w:val="20"/>
                <w:color w:val="auto"/>
              </w:rPr>
              <w:t>PERSONS AND TRANSACTIONS COVERED BY THIS POLICY</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3</w:t>
            </w:r>
          </w:p>
        </w:tc>
      </w:tr>
      <w:tr>
        <w:trPr>
          <w:trHeight w:val="256"/>
        </w:trPr>
        <w:tc>
          <w:tcPr>
            <w:tcW w:w="7980" w:type="dxa"/>
            <w:vAlign w:val="bottom"/>
          </w:tcPr>
          <w:p>
            <w:pPr>
              <w:ind w:left="540"/>
              <w:spacing w:after="0"/>
              <w:rPr>
                <w:sz w:val="20"/>
                <w:szCs w:val="20"/>
                <w:color w:val="auto"/>
              </w:rPr>
            </w:pPr>
            <w:r>
              <w:rPr>
                <w:rFonts w:ascii="Calibri" w:cs="Calibri" w:eastAsia="Calibri" w:hAnsi="Calibri"/>
                <w:sz w:val="20"/>
                <w:szCs w:val="20"/>
                <w:color w:val="auto"/>
              </w:rPr>
              <w:t>Persons covered by this Policy</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3</w:t>
            </w:r>
          </w:p>
        </w:tc>
      </w:tr>
      <w:tr>
        <w:trPr>
          <w:trHeight w:val="257"/>
        </w:trPr>
        <w:tc>
          <w:tcPr>
            <w:tcW w:w="7980" w:type="dxa"/>
            <w:vAlign w:val="bottom"/>
          </w:tcPr>
          <w:p>
            <w:pPr>
              <w:ind w:left="540"/>
              <w:spacing w:after="0"/>
              <w:rPr>
                <w:sz w:val="20"/>
                <w:szCs w:val="20"/>
                <w:color w:val="auto"/>
              </w:rPr>
            </w:pPr>
            <w:r>
              <w:rPr>
                <w:rFonts w:ascii="Calibri" w:cs="Calibri" w:eastAsia="Calibri" w:hAnsi="Calibri"/>
                <w:sz w:val="20"/>
                <w:szCs w:val="20"/>
                <w:color w:val="auto"/>
              </w:rPr>
              <w:t>Types of transactons covered by this Policy</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3</w:t>
            </w:r>
          </w:p>
        </w:tc>
      </w:tr>
      <w:tr>
        <w:trPr>
          <w:trHeight w:val="257"/>
        </w:trPr>
        <w:tc>
          <w:tcPr>
            <w:tcW w:w="7980" w:type="dxa"/>
            <w:vAlign w:val="bottom"/>
          </w:tcPr>
          <w:p>
            <w:pPr>
              <w:ind w:left="540"/>
              <w:spacing w:after="0"/>
              <w:rPr>
                <w:sz w:val="20"/>
                <w:szCs w:val="20"/>
                <w:color w:val="auto"/>
              </w:rPr>
            </w:pPr>
            <w:r>
              <w:rPr>
                <w:rFonts w:ascii="Calibri" w:cs="Calibri" w:eastAsia="Calibri" w:hAnsi="Calibri"/>
                <w:sz w:val="20"/>
                <w:szCs w:val="20"/>
                <w:color w:val="auto"/>
              </w:rPr>
              <w:t>Responsibilites regarding the nonpublic informaton of other companies</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3</w:t>
            </w:r>
          </w:p>
        </w:tc>
      </w:tr>
      <w:tr>
        <w:trPr>
          <w:trHeight w:val="257"/>
        </w:trPr>
        <w:tc>
          <w:tcPr>
            <w:tcW w:w="7980" w:type="dxa"/>
            <w:vAlign w:val="bottom"/>
          </w:tcPr>
          <w:p>
            <w:pPr>
              <w:ind w:left="540"/>
              <w:spacing w:after="0"/>
              <w:rPr>
                <w:sz w:val="20"/>
                <w:szCs w:val="20"/>
                <w:color w:val="auto"/>
              </w:rPr>
            </w:pPr>
            <w:r>
              <w:rPr>
                <w:rFonts w:ascii="Calibri" w:cs="Calibri" w:eastAsia="Calibri" w:hAnsi="Calibri"/>
                <w:sz w:val="20"/>
                <w:szCs w:val="20"/>
                <w:color w:val="auto"/>
              </w:rPr>
              <w:t>Applicability of this Policy afer your departure</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3</w:t>
            </w:r>
          </w:p>
        </w:tc>
      </w:tr>
      <w:tr>
        <w:trPr>
          <w:trHeight w:val="257"/>
        </w:trPr>
        <w:tc>
          <w:tcPr>
            <w:tcW w:w="7980" w:type="dxa"/>
            <w:vAlign w:val="bottom"/>
          </w:tcPr>
          <w:p>
            <w:pPr>
              <w:ind w:left="540"/>
              <w:spacing w:after="0"/>
              <w:rPr>
                <w:sz w:val="20"/>
                <w:szCs w:val="20"/>
                <w:color w:val="auto"/>
              </w:rPr>
            </w:pPr>
            <w:r>
              <w:rPr>
                <w:rFonts w:ascii="Calibri" w:cs="Calibri" w:eastAsia="Calibri" w:hAnsi="Calibri"/>
                <w:sz w:val="20"/>
                <w:szCs w:val="20"/>
                <w:color w:val="auto"/>
              </w:rPr>
              <w:t>No exceptons based on personal circumstances</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3</w:t>
            </w:r>
          </w:p>
        </w:tc>
      </w:tr>
      <w:tr>
        <w:trPr>
          <w:trHeight w:val="310"/>
        </w:trPr>
        <w:tc>
          <w:tcPr>
            <w:tcW w:w="7980" w:type="dxa"/>
            <w:vAlign w:val="bottom"/>
          </w:tcPr>
          <w:p>
            <w:pPr>
              <w:spacing w:after="0"/>
              <w:rPr>
                <w:sz w:val="20"/>
                <w:szCs w:val="20"/>
                <w:color w:val="auto"/>
              </w:rPr>
            </w:pPr>
            <w:r>
              <w:rPr>
                <w:rFonts w:ascii="Calibri" w:cs="Calibri" w:eastAsia="Calibri" w:hAnsi="Calibri"/>
                <w:sz w:val="20"/>
                <w:szCs w:val="20"/>
                <w:color w:val="auto"/>
              </w:rPr>
              <w:t>MATERIAL NONPUBLIC INFORMATION</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4</w:t>
            </w:r>
          </w:p>
        </w:tc>
      </w:tr>
      <w:tr>
        <w:trPr>
          <w:trHeight w:val="257"/>
        </w:trPr>
        <w:tc>
          <w:tcPr>
            <w:tcW w:w="7980" w:type="dxa"/>
            <w:vAlign w:val="bottom"/>
          </w:tcPr>
          <w:p>
            <w:pPr>
              <w:ind w:left="540"/>
              <w:spacing w:after="0"/>
              <w:rPr>
                <w:sz w:val="20"/>
                <w:szCs w:val="20"/>
                <w:color w:val="auto"/>
              </w:rPr>
            </w:pPr>
            <w:r>
              <w:rPr>
                <w:rFonts w:ascii="Calibri" w:cs="Calibri" w:eastAsia="Calibri" w:hAnsi="Calibri"/>
                <w:sz w:val="20"/>
                <w:szCs w:val="20"/>
                <w:color w:val="auto"/>
              </w:rPr>
              <w:t>“Material” informaton</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4</w:t>
            </w:r>
          </w:p>
        </w:tc>
      </w:tr>
      <w:tr>
        <w:trPr>
          <w:trHeight w:val="256"/>
        </w:trPr>
        <w:tc>
          <w:tcPr>
            <w:tcW w:w="7980" w:type="dxa"/>
            <w:vAlign w:val="bottom"/>
          </w:tcPr>
          <w:p>
            <w:pPr>
              <w:ind w:left="540"/>
              <w:spacing w:after="0"/>
              <w:rPr>
                <w:sz w:val="20"/>
                <w:szCs w:val="20"/>
                <w:color w:val="auto"/>
              </w:rPr>
            </w:pPr>
            <w:r>
              <w:rPr>
                <w:rFonts w:ascii="Calibri" w:cs="Calibri" w:eastAsia="Calibri" w:hAnsi="Calibri"/>
                <w:sz w:val="20"/>
                <w:szCs w:val="20"/>
                <w:color w:val="auto"/>
              </w:rPr>
              <w:t>“Nonpublic” informaton</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5</w:t>
            </w:r>
          </w:p>
        </w:tc>
      </w:tr>
      <w:tr>
        <w:trPr>
          <w:trHeight w:val="310"/>
        </w:trPr>
        <w:tc>
          <w:tcPr>
            <w:tcW w:w="7980" w:type="dxa"/>
            <w:vAlign w:val="bottom"/>
          </w:tcPr>
          <w:p>
            <w:pPr>
              <w:spacing w:after="0"/>
              <w:rPr>
                <w:sz w:val="20"/>
                <w:szCs w:val="20"/>
                <w:color w:val="auto"/>
              </w:rPr>
            </w:pPr>
            <w:r>
              <w:rPr>
                <w:rFonts w:ascii="Calibri" w:cs="Calibri" w:eastAsia="Calibri" w:hAnsi="Calibri"/>
                <w:sz w:val="20"/>
                <w:szCs w:val="20"/>
                <w:color w:val="auto"/>
              </w:rPr>
              <w:t>POLICIES REGARDING MATERIAL NONPUBLIC INFORMATION</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6</w:t>
            </w:r>
          </w:p>
        </w:tc>
      </w:tr>
      <w:tr>
        <w:trPr>
          <w:trHeight w:val="257"/>
        </w:trPr>
        <w:tc>
          <w:tcPr>
            <w:tcW w:w="7980" w:type="dxa"/>
            <w:vAlign w:val="bottom"/>
          </w:tcPr>
          <w:p>
            <w:pPr>
              <w:ind w:left="540"/>
              <w:spacing w:after="0"/>
              <w:rPr>
                <w:sz w:val="20"/>
                <w:szCs w:val="20"/>
                <w:color w:val="auto"/>
              </w:rPr>
            </w:pPr>
            <w:r>
              <w:rPr>
                <w:rFonts w:ascii="Calibri" w:cs="Calibri" w:eastAsia="Calibri" w:hAnsi="Calibri"/>
                <w:sz w:val="20"/>
                <w:szCs w:val="20"/>
                <w:color w:val="auto"/>
              </w:rPr>
              <w:t>Confdentality of nonpublic informaton</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6</w:t>
            </w:r>
          </w:p>
        </w:tc>
      </w:tr>
      <w:tr>
        <w:trPr>
          <w:trHeight w:val="257"/>
        </w:trPr>
        <w:tc>
          <w:tcPr>
            <w:tcW w:w="7980" w:type="dxa"/>
            <w:vAlign w:val="bottom"/>
          </w:tcPr>
          <w:p>
            <w:pPr>
              <w:ind w:left="540"/>
              <w:spacing w:after="0"/>
              <w:rPr>
                <w:sz w:val="20"/>
                <w:szCs w:val="20"/>
                <w:color w:val="auto"/>
              </w:rPr>
            </w:pPr>
            <w:r>
              <w:rPr>
                <w:rFonts w:ascii="Calibri" w:cs="Calibri" w:eastAsia="Calibri" w:hAnsi="Calibri"/>
                <w:sz w:val="20"/>
                <w:szCs w:val="20"/>
                <w:color w:val="auto"/>
              </w:rPr>
              <w:t>No trading on material nonpublic informaton</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6</w:t>
            </w:r>
          </w:p>
        </w:tc>
      </w:tr>
      <w:tr>
        <w:trPr>
          <w:trHeight w:val="256"/>
        </w:trPr>
        <w:tc>
          <w:tcPr>
            <w:tcW w:w="7980" w:type="dxa"/>
            <w:vAlign w:val="bottom"/>
          </w:tcPr>
          <w:p>
            <w:pPr>
              <w:ind w:left="540"/>
              <w:spacing w:after="0"/>
              <w:rPr>
                <w:sz w:val="20"/>
                <w:szCs w:val="20"/>
                <w:color w:val="auto"/>
              </w:rPr>
            </w:pPr>
            <w:r>
              <w:rPr>
                <w:rFonts w:ascii="Calibri" w:cs="Calibri" w:eastAsia="Calibri" w:hAnsi="Calibri"/>
                <w:sz w:val="20"/>
                <w:szCs w:val="20"/>
                <w:color w:val="auto"/>
              </w:rPr>
              <w:t>No disclosing material nonpublic informaton for the beneft of others</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6</w:t>
            </w:r>
          </w:p>
        </w:tc>
      </w:tr>
      <w:tr>
        <w:trPr>
          <w:trHeight w:val="257"/>
        </w:trPr>
        <w:tc>
          <w:tcPr>
            <w:tcW w:w="7980" w:type="dxa"/>
            <w:vAlign w:val="bottom"/>
          </w:tcPr>
          <w:p>
            <w:pPr>
              <w:ind w:left="540"/>
              <w:spacing w:after="0"/>
              <w:rPr>
                <w:sz w:val="20"/>
                <w:szCs w:val="20"/>
                <w:color w:val="auto"/>
              </w:rPr>
            </w:pPr>
            <w:r>
              <w:rPr>
                <w:rFonts w:ascii="Calibri" w:cs="Calibri" w:eastAsia="Calibri" w:hAnsi="Calibri"/>
                <w:sz w:val="20"/>
                <w:szCs w:val="20"/>
                <w:color w:val="auto"/>
              </w:rPr>
              <w:t>Obligaton to disclose material nonpublic informaton to the Company</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7</w:t>
            </w:r>
          </w:p>
        </w:tc>
      </w:tr>
      <w:tr>
        <w:trPr>
          <w:trHeight w:val="256"/>
        </w:trPr>
        <w:tc>
          <w:tcPr>
            <w:tcW w:w="7980" w:type="dxa"/>
            <w:vAlign w:val="bottom"/>
          </w:tcPr>
          <w:p>
            <w:pPr>
              <w:ind w:left="540"/>
              <w:spacing w:after="0"/>
              <w:rPr>
                <w:sz w:val="20"/>
                <w:szCs w:val="20"/>
                <w:color w:val="auto"/>
              </w:rPr>
            </w:pPr>
            <w:r>
              <w:rPr>
                <w:rFonts w:ascii="Calibri" w:cs="Calibri" w:eastAsia="Calibri" w:hAnsi="Calibri"/>
                <w:sz w:val="20"/>
                <w:szCs w:val="20"/>
                <w:color w:val="auto"/>
              </w:rPr>
              <w:t>Responding to outside inquiries for informaton</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7</w:t>
            </w:r>
          </w:p>
        </w:tc>
      </w:tr>
      <w:tr>
        <w:trPr>
          <w:trHeight w:val="310"/>
        </w:trPr>
        <w:tc>
          <w:tcPr>
            <w:tcW w:w="7980" w:type="dxa"/>
            <w:vAlign w:val="bottom"/>
          </w:tcPr>
          <w:p>
            <w:pPr>
              <w:spacing w:after="0"/>
              <w:rPr>
                <w:sz w:val="20"/>
                <w:szCs w:val="20"/>
                <w:color w:val="auto"/>
              </w:rPr>
            </w:pPr>
            <w:r>
              <w:rPr>
                <w:rFonts w:ascii="Calibri" w:cs="Calibri" w:eastAsia="Calibri" w:hAnsi="Calibri"/>
                <w:sz w:val="20"/>
                <w:szCs w:val="20"/>
                <w:color w:val="auto"/>
              </w:rPr>
              <w:t>TRADING BLACKOUT PERIODS</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8</w:t>
            </w:r>
          </w:p>
        </w:tc>
      </w:tr>
      <w:tr>
        <w:trPr>
          <w:trHeight w:val="257"/>
        </w:trPr>
        <w:tc>
          <w:tcPr>
            <w:tcW w:w="7980" w:type="dxa"/>
            <w:vAlign w:val="bottom"/>
          </w:tcPr>
          <w:p>
            <w:pPr>
              <w:ind w:left="540"/>
              <w:spacing w:after="0"/>
              <w:rPr>
                <w:sz w:val="20"/>
                <w:szCs w:val="20"/>
                <w:color w:val="auto"/>
              </w:rPr>
            </w:pPr>
            <w:r>
              <w:rPr>
                <w:rFonts w:ascii="Calibri" w:cs="Calibri" w:eastAsia="Calibri" w:hAnsi="Calibri"/>
                <w:sz w:val="20"/>
                <w:szCs w:val="20"/>
                <w:color w:val="auto"/>
              </w:rPr>
              <w:t>Quarterly blackout periods</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8</w:t>
            </w:r>
          </w:p>
        </w:tc>
      </w:tr>
      <w:tr>
        <w:trPr>
          <w:trHeight w:val="256"/>
        </w:trPr>
        <w:tc>
          <w:tcPr>
            <w:tcW w:w="7980" w:type="dxa"/>
            <w:vAlign w:val="bottom"/>
          </w:tcPr>
          <w:p>
            <w:pPr>
              <w:ind w:left="540"/>
              <w:spacing w:after="0"/>
              <w:rPr>
                <w:sz w:val="20"/>
                <w:szCs w:val="20"/>
                <w:color w:val="auto"/>
              </w:rPr>
            </w:pPr>
            <w:r>
              <w:rPr>
                <w:rFonts w:ascii="Calibri" w:cs="Calibri" w:eastAsia="Calibri" w:hAnsi="Calibri"/>
                <w:sz w:val="20"/>
                <w:szCs w:val="20"/>
                <w:color w:val="auto"/>
              </w:rPr>
              <w:t>Special blackout periods</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8</w:t>
            </w:r>
          </w:p>
        </w:tc>
      </w:tr>
      <w:tr>
        <w:trPr>
          <w:trHeight w:val="257"/>
        </w:trPr>
        <w:tc>
          <w:tcPr>
            <w:tcW w:w="7980" w:type="dxa"/>
            <w:vAlign w:val="bottom"/>
          </w:tcPr>
          <w:p>
            <w:pPr>
              <w:ind w:left="540"/>
              <w:spacing w:after="0"/>
              <w:rPr>
                <w:sz w:val="20"/>
                <w:szCs w:val="20"/>
                <w:color w:val="auto"/>
              </w:rPr>
            </w:pPr>
            <w:r>
              <w:rPr>
                <w:rFonts w:ascii="Calibri" w:cs="Calibri" w:eastAsia="Calibri" w:hAnsi="Calibri"/>
                <w:sz w:val="20"/>
                <w:szCs w:val="20"/>
                <w:color w:val="auto"/>
              </w:rPr>
              <w:t>No “safe harbors”</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8</w:t>
            </w:r>
          </w:p>
        </w:tc>
      </w:tr>
      <w:tr>
        <w:trPr>
          <w:trHeight w:val="310"/>
        </w:trPr>
        <w:tc>
          <w:tcPr>
            <w:tcW w:w="7980" w:type="dxa"/>
            <w:vAlign w:val="bottom"/>
          </w:tcPr>
          <w:p>
            <w:pPr>
              <w:spacing w:after="0"/>
              <w:rPr>
                <w:sz w:val="20"/>
                <w:szCs w:val="20"/>
                <w:color w:val="auto"/>
              </w:rPr>
            </w:pPr>
            <w:r>
              <w:rPr>
                <w:rFonts w:ascii="Calibri" w:cs="Calibri" w:eastAsia="Calibri" w:hAnsi="Calibri"/>
                <w:sz w:val="20"/>
                <w:szCs w:val="20"/>
                <w:color w:val="auto"/>
              </w:rPr>
              <w:t>PRE-CLEARANCE OF TRADES</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10</w:t>
            </w:r>
          </w:p>
        </w:tc>
      </w:tr>
      <w:tr>
        <w:trPr>
          <w:trHeight w:val="310"/>
        </w:trPr>
        <w:tc>
          <w:tcPr>
            <w:tcW w:w="7980" w:type="dxa"/>
            <w:vAlign w:val="bottom"/>
          </w:tcPr>
          <w:p>
            <w:pPr>
              <w:spacing w:after="0"/>
              <w:rPr>
                <w:sz w:val="20"/>
                <w:szCs w:val="20"/>
                <w:color w:val="auto"/>
              </w:rPr>
            </w:pPr>
            <w:r>
              <w:rPr>
                <w:rFonts w:ascii="Calibri" w:cs="Calibri" w:eastAsia="Calibri" w:hAnsi="Calibri"/>
                <w:sz w:val="20"/>
                <w:szCs w:val="20"/>
                <w:color w:val="auto"/>
              </w:rPr>
              <w:t>ADDITIONAL RESTRICTIONS AND GUIDANCE</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11</w:t>
            </w:r>
          </w:p>
        </w:tc>
      </w:tr>
      <w:tr>
        <w:trPr>
          <w:trHeight w:val="257"/>
        </w:trPr>
        <w:tc>
          <w:tcPr>
            <w:tcW w:w="7980" w:type="dxa"/>
            <w:vAlign w:val="bottom"/>
          </w:tcPr>
          <w:p>
            <w:pPr>
              <w:ind w:left="540"/>
              <w:spacing w:after="0"/>
              <w:rPr>
                <w:sz w:val="20"/>
                <w:szCs w:val="20"/>
                <w:color w:val="auto"/>
              </w:rPr>
            </w:pPr>
            <w:r>
              <w:rPr>
                <w:rFonts w:ascii="Calibri" w:cs="Calibri" w:eastAsia="Calibri" w:hAnsi="Calibri"/>
                <w:sz w:val="20"/>
                <w:szCs w:val="20"/>
                <w:color w:val="auto"/>
              </w:rPr>
              <w:t>Short sales</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11</w:t>
            </w:r>
          </w:p>
        </w:tc>
      </w:tr>
      <w:tr>
        <w:trPr>
          <w:trHeight w:val="256"/>
        </w:trPr>
        <w:tc>
          <w:tcPr>
            <w:tcW w:w="7980" w:type="dxa"/>
            <w:vAlign w:val="bottom"/>
          </w:tcPr>
          <w:p>
            <w:pPr>
              <w:ind w:left="540"/>
              <w:spacing w:after="0"/>
              <w:rPr>
                <w:sz w:val="20"/>
                <w:szCs w:val="20"/>
                <w:color w:val="auto"/>
              </w:rPr>
            </w:pPr>
            <w:r>
              <w:rPr>
                <w:rFonts w:ascii="Calibri" w:cs="Calibri" w:eastAsia="Calibri" w:hAnsi="Calibri"/>
                <w:sz w:val="20"/>
                <w:szCs w:val="20"/>
                <w:color w:val="auto"/>
              </w:rPr>
              <w:t>Derivatve securites and hedging transactons</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11</w:t>
            </w:r>
          </w:p>
        </w:tc>
      </w:tr>
      <w:tr>
        <w:trPr>
          <w:trHeight w:val="257"/>
        </w:trPr>
        <w:tc>
          <w:tcPr>
            <w:tcW w:w="7980" w:type="dxa"/>
            <w:vAlign w:val="bottom"/>
          </w:tcPr>
          <w:p>
            <w:pPr>
              <w:ind w:left="540"/>
              <w:spacing w:after="0"/>
              <w:rPr>
                <w:sz w:val="20"/>
                <w:szCs w:val="20"/>
                <w:color w:val="auto"/>
              </w:rPr>
            </w:pPr>
            <w:r>
              <w:rPr>
                <w:rFonts w:ascii="Calibri" w:cs="Calibri" w:eastAsia="Calibri" w:hAnsi="Calibri"/>
                <w:sz w:val="20"/>
                <w:szCs w:val="20"/>
                <w:color w:val="auto"/>
              </w:rPr>
              <w:t>Using Company securites as collateral for loans</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11</w:t>
            </w:r>
          </w:p>
        </w:tc>
      </w:tr>
      <w:tr>
        <w:trPr>
          <w:trHeight w:val="256"/>
        </w:trPr>
        <w:tc>
          <w:tcPr>
            <w:tcW w:w="7980" w:type="dxa"/>
            <w:vAlign w:val="bottom"/>
          </w:tcPr>
          <w:p>
            <w:pPr>
              <w:ind w:left="540"/>
              <w:spacing w:after="0"/>
              <w:rPr>
                <w:sz w:val="20"/>
                <w:szCs w:val="20"/>
                <w:color w:val="auto"/>
              </w:rPr>
            </w:pPr>
            <w:r>
              <w:rPr>
                <w:rFonts w:ascii="Calibri" w:cs="Calibri" w:eastAsia="Calibri" w:hAnsi="Calibri"/>
                <w:sz w:val="20"/>
                <w:szCs w:val="20"/>
                <w:color w:val="auto"/>
              </w:rPr>
              <w:t>Holding Company securites in margin accounts</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11</w:t>
            </w:r>
          </w:p>
        </w:tc>
      </w:tr>
      <w:tr>
        <w:trPr>
          <w:trHeight w:val="257"/>
        </w:trPr>
        <w:tc>
          <w:tcPr>
            <w:tcW w:w="7980" w:type="dxa"/>
            <w:vAlign w:val="bottom"/>
          </w:tcPr>
          <w:p>
            <w:pPr>
              <w:ind w:left="540"/>
              <w:spacing w:after="0"/>
              <w:rPr>
                <w:sz w:val="20"/>
                <w:szCs w:val="20"/>
                <w:color w:val="auto"/>
              </w:rPr>
            </w:pPr>
            <w:r>
              <w:rPr>
                <w:rFonts w:ascii="Calibri" w:cs="Calibri" w:eastAsia="Calibri" w:hAnsi="Calibri"/>
                <w:sz w:val="20"/>
                <w:szCs w:val="20"/>
                <w:color w:val="auto"/>
              </w:rPr>
              <w:t>Placing open orders with brokers</w:t>
            </w:r>
          </w:p>
        </w:tc>
        <w:tc>
          <w:tcPr>
            <w:tcW w:w="1900" w:type="dxa"/>
            <w:vAlign w:val="bottom"/>
          </w:tcPr>
          <w:p>
            <w:pPr>
              <w:jc w:val="right"/>
              <w:spacing w:after="0"/>
              <w:rPr>
                <w:sz w:val="20"/>
                <w:szCs w:val="20"/>
                <w:color w:val="auto"/>
              </w:rPr>
            </w:pPr>
            <w:r>
              <w:rPr>
                <w:rFonts w:ascii="Calibri" w:cs="Calibri" w:eastAsia="Calibri" w:hAnsi="Calibri"/>
                <w:sz w:val="20"/>
                <w:szCs w:val="20"/>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160"/>
        <w:spacing w:after="0"/>
        <w:rPr>
          <w:sz w:val="20"/>
          <w:szCs w:val="20"/>
          <w:color w:val="auto"/>
        </w:rPr>
      </w:pPr>
      <w:r>
        <w:rPr>
          <w:rFonts w:ascii="Calibri" w:cs="Calibri" w:eastAsia="Calibri" w:hAnsi="Calibri"/>
          <w:sz w:val="22"/>
          <w:szCs w:val="22"/>
          <w:color w:val="auto"/>
        </w:rPr>
        <w:t>-i-</w:t>
      </w:r>
    </w:p>
    <w:p>
      <w:pPr>
        <w:sectPr>
          <w:pgSz w:w="11900" w:h="16838" w:orient="portrait"/>
          <w:cols w:equalWidth="0" w:num="1">
            <w:col w:w="9880"/>
          </w:cols>
          <w:pgMar w:left="680" w:top="105" w:right="1339" w:bottom="1440" w:gutter="0" w:footer="0" w:header="0"/>
        </w:sectPr>
      </w:pPr>
    </w:p>
    <w:bookmarkStart w:id="126" w:name="page127"/>
    <w:bookmarkEnd w:id="126"/>
    <w:p>
      <w:pPr>
        <w:jc w:val="center"/>
        <w:ind w:right="-119"/>
        <w:spacing w:after="0"/>
        <w:rPr>
          <w:sz w:val="20"/>
          <w:szCs w:val="20"/>
          <w:color w:val="auto"/>
        </w:rPr>
      </w:pPr>
      <w:r>
        <w:rPr>
          <w:rFonts w:ascii="Calibri" w:cs="Calibri" w:eastAsia="Calibri" w:hAnsi="Calibri"/>
          <w:sz w:val="20"/>
          <w:szCs w:val="20"/>
          <w:b w:val="1"/>
          <w:bCs w:val="1"/>
          <w:color w:val="auto"/>
        </w:rPr>
        <w:t>TABLE OF CONTENTS</w:t>
      </w:r>
    </w:p>
    <w:p>
      <w:pPr>
        <w:jc w:val="center"/>
        <w:ind w:right="-119"/>
        <w:spacing w:after="0" w:line="238" w:lineRule="auto"/>
        <w:rPr>
          <w:sz w:val="20"/>
          <w:szCs w:val="20"/>
          <w:color w:val="auto"/>
        </w:rPr>
      </w:pPr>
      <w:r>
        <w:rPr>
          <w:rFonts w:ascii="Calibri" w:cs="Calibri" w:eastAsia="Calibri" w:hAnsi="Calibri"/>
          <w:sz w:val="20"/>
          <w:szCs w:val="20"/>
          <w:color w:val="auto"/>
        </w:rPr>
        <w:t>(contnued)</w:t>
      </w:r>
    </w:p>
    <w:p>
      <w:pPr>
        <w:jc w:val="right"/>
        <w:spacing w:after="0" w:line="226" w:lineRule="auto"/>
        <w:rPr>
          <w:sz w:val="20"/>
          <w:szCs w:val="20"/>
          <w:color w:val="auto"/>
        </w:rPr>
      </w:pPr>
      <w:r>
        <w:rPr>
          <w:rFonts w:ascii="Calibri" w:cs="Calibri" w:eastAsia="Calibri" w:hAnsi="Calibri"/>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360" w:type="dxa"/>
        <w:tblCellMar>
          <w:top w:w="0" w:type="dxa"/>
          <w:left w:w="0" w:type="dxa"/>
          <w:bottom w:w="0" w:type="dxa"/>
          <w:right w:w="0" w:type="dxa"/>
        </w:tblCellMar>
      </w:tblPr>
      <w:tr>
        <w:trPr>
          <w:trHeight w:val="244"/>
        </w:trPr>
        <w:tc>
          <w:tcPr>
            <w:tcW w:w="8460" w:type="dxa"/>
            <w:vAlign w:val="bottom"/>
          </w:tcPr>
          <w:p>
            <w:pPr>
              <w:spacing w:after="0"/>
              <w:rPr>
                <w:sz w:val="20"/>
                <w:szCs w:val="20"/>
                <w:color w:val="auto"/>
              </w:rPr>
            </w:pPr>
            <w:r>
              <w:rPr>
                <w:rFonts w:ascii="Calibri" w:cs="Calibri" w:eastAsia="Calibri" w:hAnsi="Calibri"/>
                <w:sz w:val="20"/>
                <w:szCs w:val="20"/>
                <w:color w:val="auto"/>
              </w:rPr>
              <w:t>LIMITED EXCEPTIONS</w:t>
            </w:r>
          </w:p>
        </w:tc>
        <w:tc>
          <w:tcPr>
            <w:tcW w:w="1420" w:type="dxa"/>
            <w:vAlign w:val="bottom"/>
          </w:tcPr>
          <w:p>
            <w:pPr>
              <w:jc w:val="right"/>
              <w:spacing w:after="0"/>
              <w:rPr>
                <w:sz w:val="20"/>
                <w:szCs w:val="20"/>
                <w:color w:val="auto"/>
              </w:rPr>
            </w:pPr>
            <w:r>
              <w:rPr>
                <w:rFonts w:ascii="Calibri" w:cs="Calibri" w:eastAsia="Calibri" w:hAnsi="Calibri"/>
                <w:sz w:val="20"/>
                <w:szCs w:val="20"/>
                <w:color w:val="auto"/>
              </w:rPr>
              <w:t>12</w:t>
            </w:r>
          </w:p>
        </w:tc>
      </w:tr>
      <w:tr>
        <w:trPr>
          <w:trHeight w:val="257"/>
        </w:trPr>
        <w:tc>
          <w:tcPr>
            <w:tcW w:w="8460" w:type="dxa"/>
            <w:vAlign w:val="bottom"/>
          </w:tcPr>
          <w:p>
            <w:pPr>
              <w:ind w:left="540"/>
              <w:spacing w:after="0"/>
              <w:rPr>
                <w:sz w:val="20"/>
                <w:szCs w:val="20"/>
                <w:color w:val="auto"/>
              </w:rPr>
            </w:pPr>
            <w:r>
              <w:rPr>
                <w:rFonts w:ascii="Calibri" w:cs="Calibri" w:eastAsia="Calibri" w:hAnsi="Calibri"/>
                <w:sz w:val="20"/>
                <w:szCs w:val="20"/>
                <w:color w:val="auto"/>
              </w:rPr>
              <w:t>Transactons pursuant to a trading plan that complies with SEC rules</w:t>
            </w:r>
          </w:p>
        </w:tc>
        <w:tc>
          <w:tcPr>
            <w:tcW w:w="1420" w:type="dxa"/>
            <w:vAlign w:val="bottom"/>
          </w:tcPr>
          <w:p>
            <w:pPr>
              <w:jc w:val="right"/>
              <w:spacing w:after="0"/>
              <w:rPr>
                <w:sz w:val="20"/>
                <w:szCs w:val="20"/>
                <w:color w:val="auto"/>
              </w:rPr>
            </w:pPr>
            <w:r>
              <w:rPr>
                <w:rFonts w:ascii="Calibri" w:cs="Calibri" w:eastAsia="Calibri" w:hAnsi="Calibri"/>
                <w:sz w:val="20"/>
                <w:szCs w:val="20"/>
                <w:color w:val="auto"/>
              </w:rPr>
              <w:t>12</w:t>
            </w:r>
          </w:p>
        </w:tc>
      </w:tr>
      <w:tr>
        <w:trPr>
          <w:trHeight w:val="257"/>
        </w:trPr>
        <w:tc>
          <w:tcPr>
            <w:tcW w:w="8460" w:type="dxa"/>
            <w:vAlign w:val="bottom"/>
          </w:tcPr>
          <w:p>
            <w:pPr>
              <w:ind w:left="540"/>
              <w:spacing w:after="0"/>
              <w:rPr>
                <w:sz w:val="20"/>
                <w:szCs w:val="20"/>
                <w:color w:val="auto"/>
              </w:rPr>
            </w:pPr>
            <w:r>
              <w:rPr>
                <w:rFonts w:ascii="Calibri" w:cs="Calibri" w:eastAsia="Calibri" w:hAnsi="Calibri"/>
                <w:sz w:val="20"/>
                <w:szCs w:val="20"/>
                <w:color w:val="auto"/>
              </w:rPr>
              <w:t>Receipt and vestng of stock optons, restricted stock and stock appreciaton rights</w:t>
            </w:r>
          </w:p>
        </w:tc>
        <w:tc>
          <w:tcPr>
            <w:tcW w:w="1420" w:type="dxa"/>
            <w:vAlign w:val="bottom"/>
          </w:tcPr>
          <w:p>
            <w:pPr>
              <w:jc w:val="right"/>
              <w:spacing w:after="0"/>
              <w:rPr>
                <w:sz w:val="20"/>
                <w:szCs w:val="20"/>
                <w:color w:val="auto"/>
              </w:rPr>
            </w:pPr>
            <w:r>
              <w:rPr>
                <w:rFonts w:ascii="Calibri" w:cs="Calibri" w:eastAsia="Calibri" w:hAnsi="Calibri"/>
                <w:sz w:val="20"/>
                <w:szCs w:val="20"/>
                <w:color w:val="auto"/>
              </w:rPr>
              <w:t>12</w:t>
            </w:r>
          </w:p>
        </w:tc>
      </w:tr>
      <w:tr>
        <w:trPr>
          <w:trHeight w:val="256"/>
        </w:trPr>
        <w:tc>
          <w:tcPr>
            <w:tcW w:w="8460" w:type="dxa"/>
            <w:vAlign w:val="bottom"/>
          </w:tcPr>
          <w:p>
            <w:pPr>
              <w:ind w:left="540"/>
              <w:spacing w:after="0"/>
              <w:rPr>
                <w:sz w:val="20"/>
                <w:szCs w:val="20"/>
                <w:color w:val="auto"/>
              </w:rPr>
            </w:pPr>
            <w:r>
              <w:rPr>
                <w:rFonts w:ascii="Calibri" w:cs="Calibri" w:eastAsia="Calibri" w:hAnsi="Calibri"/>
                <w:sz w:val="20"/>
                <w:szCs w:val="20"/>
                <w:color w:val="auto"/>
              </w:rPr>
              <w:t>Exercise of stock optons for cash</w:t>
            </w:r>
          </w:p>
        </w:tc>
        <w:tc>
          <w:tcPr>
            <w:tcW w:w="1420" w:type="dxa"/>
            <w:vAlign w:val="bottom"/>
          </w:tcPr>
          <w:p>
            <w:pPr>
              <w:jc w:val="right"/>
              <w:spacing w:after="0"/>
              <w:rPr>
                <w:sz w:val="20"/>
                <w:szCs w:val="20"/>
                <w:color w:val="auto"/>
              </w:rPr>
            </w:pPr>
            <w:r>
              <w:rPr>
                <w:rFonts w:ascii="Calibri" w:cs="Calibri" w:eastAsia="Calibri" w:hAnsi="Calibri"/>
                <w:sz w:val="20"/>
                <w:szCs w:val="20"/>
                <w:color w:val="auto"/>
              </w:rPr>
              <w:t>13</w:t>
            </w:r>
          </w:p>
        </w:tc>
      </w:tr>
      <w:tr>
        <w:trPr>
          <w:trHeight w:val="257"/>
        </w:trPr>
        <w:tc>
          <w:tcPr>
            <w:tcW w:w="8460" w:type="dxa"/>
            <w:vAlign w:val="bottom"/>
          </w:tcPr>
          <w:p>
            <w:pPr>
              <w:ind w:left="540"/>
              <w:spacing w:after="0"/>
              <w:rPr>
                <w:sz w:val="20"/>
                <w:szCs w:val="20"/>
                <w:color w:val="auto"/>
              </w:rPr>
            </w:pPr>
            <w:r>
              <w:rPr>
                <w:rFonts w:ascii="Calibri" w:cs="Calibri" w:eastAsia="Calibri" w:hAnsi="Calibri"/>
                <w:sz w:val="20"/>
                <w:szCs w:val="20"/>
                <w:color w:val="auto"/>
              </w:rPr>
              <w:t>Purchases from an employee stock purchase plan</w:t>
            </w:r>
          </w:p>
        </w:tc>
        <w:tc>
          <w:tcPr>
            <w:tcW w:w="1420" w:type="dxa"/>
            <w:vAlign w:val="bottom"/>
          </w:tcPr>
          <w:p>
            <w:pPr>
              <w:jc w:val="right"/>
              <w:spacing w:after="0"/>
              <w:rPr>
                <w:sz w:val="20"/>
                <w:szCs w:val="20"/>
                <w:color w:val="auto"/>
              </w:rPr>
            </w:pPr>
            <w:r>
              <w:rPr>
                <w:rFonts w:ascii="Calibri" w:cs="Calibri" w:eastAsia="Calibri" w:hAnsi="Calibri"/>
                <w:sz w:val="20"/>
                <w:szCs w:val="20"/>
                <w:color w:val="auto"/>
              </w:rPr>
              <w:t>13</w:t>
            </w:r>
          </w:p>
        </w:tc>
      </w:tr>
      <w:tr>
        <w:trPr>
          <w:trHeight w:val="257"/>
        </w:trPr>
        <w:tc>
          <w:tcPr>
            <w:tcW w:w="8460" w:type="dxa"/>
            <w:vAlign w:val="bottom"/>
          </w:tcPr>
          <w:p>
            <w:pPr>
              <w:ind w:left="540"/>
              <w:spacing w:after="0"/>
              <w:rPr>
                <w:sz w:val="20"/>
                <w:szCs w:val="20"/>
                <w:color w:val="auto"/>
              </w:rPr>
            </w:pPr>
            <w:r>
              <w:rPr>
                <w:rFonts w:ascii="Calibri" w:cs="Calibri" w:eastAsia="Calibri" w:hAnsi="Calibri"/>
                <w:sz w:val="20"/>
                <w:szCs w:val="20"/>
                <w:color w:val="auto"/>
              </w:rPr>
              <w:t>Certain 401(k) plan transactons</w:t>
            </w:r>
          </w:p>
        </w:tc>
        <w:tc>
          <w:tcPr>
            <w:tcW w:w="1420" w:type="dxa"/>
            <w:vAlign w:val="bottom"/>
          </w:tcPr>
          <w:p>
            <w:pPr>
              <w:jc w:val="right"/>
              <w:spacing w:after="0"/>
              <w:rPr>
                <w:sz w:val="20"/>
                <w:szCs w:val="20"/>
                <w:color w:val="auto"/>
              </w:rPr>
            </w:pPr>
            <w:r>
              <w:rPr>
                <w:rFonts w:ascii="Calibri" w:cs="Calibri" w:eastAsia="Calibri" w:hAnsi="Calibri"/>
                <w:sz w:val="20"/>
                <w:szCs w:val="20"/>
                <w:color w:val="auto"/>
              </w:rPr>
              <w:t>13</w:t>
            </w:r>
          </w:p>
        </w:tc>
      </w:tr>
      <w:tr>
        <w:trPr>
          <w:trHeight w:val="257"/>
        </w:trPr>
        <w:tc>
          <w:tcPr>
            <w:tcW w:w="8460" w:type="dxa"/>
            <w:vAlign w:val="bottom"/>
          </w:tcPr>
          <w:p>
            <w:pPr>
              <w:ind w:left="540"/>
              <w:spacing w:after="0"/>
              <w:rPr>
                <w:sz w:val="20"/>
                <w:szCs w:val="20"/>
                <w:color w:val="auto"/>
              </w:rPr>
            </w:pPr>
            <w:r>
              <w:rPr>
                <w:rFonts w:ascii="Calibri" w:cs="Calibri" w:eastAsia="Calibri" w:hAnsi="Calibri"/>
                <w:sz w:val="20"/>
                <w:szCs w:val="20"/>
                <w:color w:val="auto"/>
              </w:rPr>
              <w:t>Stock splits, stock dividends and similar transactons</w:t>
            </w:r>
          </w:p>
        </w:tc>
        <w:tc>
          <w:tcPr>
            <w:tcW w:w="1420" w:type="dxa"/>
            <w:vAlign w:val="bottom"/>
          </w:tcPr>
          <w:p>
            <w:pPr>
              <w:jc w:val="right"/>
              <w:spacing w:after="0"/>
              <w:rPr>
                <w:sz w:val="20"/>
                <w:szCs w:val="20"/>
                <w:color w:val="auto"/>
              </w:rPr>
            </w:pPr>
            <w:r>
              <w:rPr>
                <w:rFonts w:ascii="Calibri" w:cs="Calibri" w:eastAsia="Calibri" w:hAnsi="Calibri"/>
                <w:sz w:val="20"/>
                <w:szCs w:val="20"/>
                <w:color w:val="auto"/>
              </w:rPr>
              <w:t>13</w:t>
            </w:r>
          </w:p>
        </w:tc>
      </w:tr>
      <w:tr>
        <w:trPr>
          <w:trHeight w:val="257"/>
        </w:trPr>
        <w:tc>
          <w:tcPr>
            <w:tcW w:w="8460" w:type="dxa"/>
            <w:vAlign w:val="bottom"/>
          </w:tcPr>
          <w:p>
            <w:pPr>
              <w:ind w:left="540"/>
              <w:spacing w:after="0"/>
              <w:rPr>
                <w:sz w:val="20"/>
                <w:szCs w:val="20"/>
                <w:color w:val="auto"/>
              </w:rPr>
            </w:pPr>
            <w:r>
              <w:rPr>
                <w:rFonts w:ascii="Calibri" w:cs="Calibri" w:eastAsia="Calibri" w:hAnsi="Calibri"/>
                <w:sz w:val="20"/>
                <w:szCs w:val="20"/>
                <w:color w:val="auto"/>
              </w:rPr>
              <w:t>Diversifed mutual funds</w:t>
            </w:r>
          </w:p>
        </w:tc>
        <w:tc>
          <w:tcPr>
            <w:tcW w:w="1420" w:type="dxa"/>
            <w:vAlign w:val="bottom"/>
          </w:tcPr>
          <w:p>
            <w:pPr>
              <w:jc w:val="right"/>
              <w:spacing w:after="0"/>
              <w:rPr>
                <w:sz w:val="20"/>
                <w:szCs w:val="20"/>
                <w:color w:val="auto"/>
              </w:rPr>
            </w:pPr>
            <w:r>
              <w:rPr>
                <w:rFonts w:ascii="Calibri" w:cs="Calibri" w:eastAsia="Calibri" w:hAnsi="Calibri"/>
                <w:sz w:val="20"/>
                <w:szCs w:val="20"/>
                <w:color w:val="auto"/>
              </w:rPr>
              <w:t>13</w:t>
            </w:r>
          </w:p>
        </w:tc>
      </w:tr>
      <w:tr>
        <w:trPr>
          <w:trHeight w:val="256"/>
        </w:trPr>
        <w:tc>
          <w:tcPr>
            <w:tcW w:w="8460" w:type="dxa"/>
            <w:vAlign w:val="bottom"/>
          </w:tcPr>
          <w:p>
            <w:pPr>
              <w:ind w:left="540"/>
              <w:spacing w:after="0"/>
              <w:rPr>
                <w:sz w:val="20"/>
                <w:szCs w:val="20"/>
                <w:color w:val="auto"/>
              </w:rPr>
            </w:pPr>
            <w:r>
              <w:rPr>
                <w:rFonts w:ascii="Calibri" w:cs="Calibri" w:eastAsia="Calibri" w:hAnsi="Calibri"/>
                <w:sz w:val="20"/>
                <w:szCs w:val="20"/>
                <w:color w:val="auto"/>
              </w:rPr>
              <w:t>Change in form of ownership</w:t>
            </w:r>
          </w:p>
        </w:tc>
        <w:tc>
          <w:tcPr>
            <w:tcW w:w="1420" w:type="dxa"/>
            <w:vAlign w:val="bottom"/>
          </w:tcPr>
          <w:p>
            <w:pPr>
              <w:jc w:val="right"/>
              <w:spacing w:after="0"/>
              <w:rPr>
                <w:sz w:val="20"/>
                <w:szCs w:val="20"/>
                <w:color w:val="auto"/>
              </w:rPr>
            </w:pPr>
            <w:r>
              <w:rPr>
                <w:rFonts w:ascii="Calibri" w:cs="Calibri" w:eastAsia="Calibri" w:hAnsi="Calibri"/>
                <w:sz w:val="20"/>
                <w:szCs w:val="20"/>
                <w:color w:val="auto"/>
              </w:rPr>
              <w:t>13</w:t>
            </w:r>
          </w:p>
        </w:tc>
      </w:tr>
      <w:tr>
        <w:trPr>
          <w:trHeight w:val="257"/>
        </w:trPr>
        <w:tc>
          <w:tcPr>
            <w:tcW w:w="8460" w:type="dxa"/>
            <w:vAlign w:val="bottom"/>
          </w:tcPr>
          <w:p>
            <w:pPr>
              <w:ind w:left="540"/>
              <w:spacing w:after="0"/>
              <w:rPr>
                <w:sz w:val="20"/>
                <w:szCs w:val="20"/>
                <w:color w:val="auto"/>
              </w:rPr>
            </w:pPr>
            <w:r>
              <w:rPr>
                <w:rFonts w:ascii="Calibri" w:cs="Calibri" w:eastAsia="Calibri" w:hAnsi="Calibri"/>
                <w:sz w:val="20"/>
                <w:szCs w:val="20"/>
                <w:color w:val="auto"/>
              </w:rPr>
              <w:t>Other exceptons</w:t>
            </w:r>
          </w:p>
        </w:tc>
        <w:tc>
          <w:tcPr>
            <w:tcW w:w="1420" w:type="dxa"/>
            <w:vAlign w:val="bottom"/>
          </w:tcPr>
          <w:p>
            <w:pPr>
              <w:jc w:val="right"/>
              <w:spacing w:after="0"/>
              <w:rPr>
                <w:sz w:val="20"/>
                <w:szCs w:val="20"/>
                <w:color w:val="auto"/>
              </w:rPr>
            </w:pPr>
            <w:r>
              <w:rPr>
                <w:rFonts w:ascii="Calibri" w:cs="Calibri" w:eastAsia="Calibri" w:hAnsi="Calibri"/>
                <w:sz w:val="20"/>
                <w:szCs w:val="20"/>
                <w:color w:val="auto"/>
              </w:rPr>
              <w:t>13</w:t>
            </w:r>
          </w:p>
        </w:tc>
      </w:tr>
      <w:tr>
        <w:trPr>
          <w:trHeight w:val="311"/>
        </w:trPr>
        <w:tc>
          <w:tcPr>
            <w:tcW w:w="8460" w:type="dxa"/>
            <w:vAlign w:val="bottom"/>
          </w:tcPr>
          <w:p>
            <w:pPr>
              <w:spacing w:after="0"/>
              <w:rPr>
                <w:sz w:val="20"/>
                <w:szCs w:val="20"/>
                <w:color w:val="auto"/>
              </w:rPr>
            </w:pPr>
            <w:r>
              <w:rPr>
                <w:rFonts w:ascii="Calibri" w:cs="Calibri" w:eastAsia="Calibri" w:hAnsi="Calibri"/>
                <w:sz w:val="20"/>
                <w:szCs w:val="20"/>
                <w:color w:val="auto"/>
              </w:rPr>
              <w:t>COMPLIANCE WITH SECTION 16 OF THE SECURITIES EXCHANGE ACT</w:t>
            </w:r>
          </w:p>
        </w:tc>
        <w:tc>
          <w:tcPr>
            <w:tcW w:w="1420" w:type="dxa"/>
            <w:vAlign w:val="bottom"/>
          </w:tcPr>
          <w:p>
            <w:pPr>
              <w:jc w:val="right"/>
              <w:spacing w:after="0"/>
              <w:rPr>
                <w:sz w:val="20"/>
                <w:szCs w:val="20"/>
                <w:color w:val="auto"/>
              </w:rPr>
            </w:pPr>
            <w:r>
              <w:rPr>
                <w:rFonts w:ascii="Calibri" w:cs="Calibri" w:eastAsia="Calibri" w:hAnsi="Calibri"/>
                <w:sz w:val="20"/>
                <w:szCs w:val="20"/>
                <w:color w:val="auto"/>
              </w:rPr>
              <w:t>14</w:t>
            </w:r>
          </w:p>
        </w:tc>
      </w:tr>
      <w:tr>
        <w:trPr>
          <w:trHeight w:val="256"/>
        </w:trPr>
        <w:tc>
          <w:tcPr>
            <w:tcW w:w="8460" w:type="dxa"/>
            <w:vAlign w:val="bottom"/>
          </w:tcPr>
          <w:p>
            <w:pPr>
              <w:ind w:left="540"/>
              <w:spacing w:after="0"/>
              <w:rPr>
                <w:sz w:val="20"/>
                <w:szCs w:val="20"/>
                <w:color w:val="auto"/>
              </w:rPr>
            </w:pPr>
            <w:r>
              <w:rPr>
                <w:rFonts w:ascii="Calibri" w:cs="Calibri" w:eastAsia="Calibri" w:hAnsi="Calibri"/>
                <w:sz w:val="20"/>
                <w:szCs w:val="20"/>
                <w:color w:val="auto"/>
              </w:rPr>
              <w:t>Obligatons under Secton 16</w:t>
            </w:r>
          </w:p>
        </w:tc>
        <w:tc>
          <w:tcPr>
            <w:tcW w:w="1420" w:type="dxa"/>
            <w:vAlign w:val="bottom"/>
          </w:tcPr>
          <w:p>
            <w:pPr>
              <w:jc w:val="right"/>
              <w:spacing w:after="0"/>
              <w:rPr>
                <w:sz w:val="20"/>
                <w:szCs w:val="20"/>
                <w:color w:val="auto"/>
              </w:rPr>
            </w:pPr>
            <w:r>
              <w:rPr>
                <w:rFonts w:ascii="Calibri" w:cs="Calibri" w:eastAsia="Calibri" w:hAnsi="Calibri"/>
                <w:sz w:val="20"/>
                <w:szCs w:val="20"/>
                <w:color w:val="auto"/>
              </w:rPr>
              <w:t>14</w:t>
            </w:r>
          </w:p>
        </w:tc>
      </w:tr>
      <w:tr>
        <w:trPr>
          <w:trHeight w:val="257"/>
        </w:trPr>
        <w:tc>
          <w:tcPr>
            <w:tcW w:w="8460" w:type="dxa"/>
            <w:vAlign w:val="bottom"/>
          </w:tcPr>
          <w:p>
            <w:pPr>
              <w:ind w:left="540"/>
              <w:spacing w:after="0"/>
              <w:rPr>
                <w:sz w:val="20"/>
                <w:szCs w:val="20"/>
                <w:color w:val="auto"/>
              </w:rPr>
            </w:pPr>
            <w:r>
              <w:rPr>
                <w:rFonts w:ascii="Calibri" w:cs="Calibri" w:eastAsia="Calibri" w:hAnsi="Calibri"/>
                <w:sz w:val="20"/>
                <w:szCs w:val="20"/>
                <w:color w:val="auto"/>
              </w:rPr>
              <w:t>Notfcaton requirements to facilitate Secton 16 reportng</w:t>
            </w:r>
          </w:p>
        </w:tc>
        <w:tc>
          <w:tcPr>
            <w:tcW w:w="1420" w:type="dxa"/>
            <w:vAlign w:val="bottom"/>
          </w:tcPr>
          <w:p>
            <w:pPr>
              <w:jc w:val="right"/>
              <w:spacing w:after="0"/>
              <w:rPr>
                <w:sz w:val="20"/>
                <w:szCs w:val="20"/>
                <w:color w:val="auto"/>
              </w:rPr>
            </w:pPr>
            <w:r>
              <w:rPr>
                <w:rFonts w:ascii="Calibri" w:cs="Calibri" w:eastAsia="Calibri" w:hAnsi="Calibri"/>
                <w:sz w:val="20"/>
                <w:szCs w:val="20"/>
                <w:color w:val="auto"/>
              </w:rPr>
              <w:t>14</w:t>
            </w:r>
          </w:p>
        </w:tc>
      </w:tr>
      <w:tr>
        <w:trPr>
          <w:trHeight w:val="257"/>
        </w:trPr>
        <w:tc>
          <w:tcPr>
            <w:tcW w:w="8460" w:type="dxa"/>
            <w:vAlign w:val="bottom"/>
          </w:tcPr>
          <w:p>
            <w:pPr>
              <w:ind w:left="540"/>
              <w:spacing w:after="0"/>
              <w:rPr>
                <w:sz w:val="20"/>
                <w:szCs w:val="20"/>
                <w:color w:val="auto"/>
              </w:rPr>
            </w:pPr>
            <w:r>
              <w:rPr>
                <w:rFonts w:ascii="Calibri" w:cs="Calibri" w:eastAsia="Calibri" w:hAnsi="Calibri"/>
                <w:sz w:val="20"/>
                <w:szCs w:val="20"/>
                <w:color w:val="auto"/>
              </w:rPr>
              <w:t>Personal responsibility</w:t>
            </w:r>
          </w:p>
        </w:tc>
        <w:tc>
          <w:tcPr>
            <w:tcW w:w="1420" w:type="dxa"/>
            <w:vAlign w:val="bottom"/>
          </w:tcPr>
          <w:p>
            <w:pPr>
              <w:jc w:val="right"/>
              <w:spacing w:after="0"/>
              <w:rPr>
                <w:sz w:val="20"/>
                <w:szCs w:val="20"/>
                <w:color w:val="auto"/>
              </w:rPr>
            </w:pPr>
            <w:r>
              <w:rPr>
                <w:rFonts w:ascii="Calibri" w:cs="Calibri" w:eastAsia="Calibri" w:hAnsi="Calibri"/>
                <w:sz w:val="20"/>
                <w:szCs w:val="20"/>
                <w:color w:val="auto"/>
              </w:rPr>
              <w:t>14</w:t>
            </w:r>
          </w:p>
        </w:tc>
      </w:tr>
      <w:tr>
        <w:trPr>
          <w:trHeight w:val="311"/>
        </w:trPr>
        <w:tc>
          <w:tcPr>
            <w:tcW w:w="8460" w:type="dxa"/>
            <w:vAlign w:val="bottom"/>
          </w:tcPr>
          <w:p>
            <w:pPr>
              <w:spacing w:after="0"/>
              <w:rPr>
                <w:sz w:val="20"/>
                <w:szCs w:val="20"/>
                <w:color w:val="auto"/>
              </w:rPr>
            </w:pPr>
            <w:r>
              <w:rPr>
                <w:rFonts w:ascii="Calibri" w:cs="Calibri" w:eastAsia="Calibri" w:hAnsi="Calibri"/>
                <w:sz w:val="20"/>
                <w:szCs w:val="20"/>
                <w:color w:val="auto"/>
              </w:rPr>
              <w:t>ADDITIONAL INFORMATION</w:t>
            </w:r>
          </w:p>
        </w:tc>
        <w:tc>
          <w:tcPr>
            <w:tcW w:w="1420" w:type="dxa"/>
            <w:vAlign w:val="bottom"/>
          </w:tcPr>
          <w:p>
            <w:pPr>
              <w:jc w:val="right"/>
              <w:spacing w:after="0"/>
              <w:rPr>
                <w:sz w:val="20"/>
                <w:szCs w:val="20"/>
                <w:color w:val="auto"/>
              </w:rPr>
            </w:pPr>
            <w:r>
              <w:rPr>
                <w:rFonts w:ascii="Calibri" w:cs="Calibri" w:eastAsia="Calibri" w:hAnsi="Calibri"/>
                <w:sz w:val="20"/>
                <w:szCs w:val="20"/>
                <w:color w:val="auto"/>
              </w:rPr>
              <w:t>15</w:t>
            </w:r>
          </w:p>
        </w:tc>
      </w:tr>
      <w:tr>
        <w:trPr>
          <w:trHeight w:val="256"/>
        </w:trPr>
        <w:tc>
          <w:tcPr>
            <w:tcW w:w="8460" w:type="dxa"/>
            <w:vAlign w:val="bottom"/>
          </w:tcPr>
          <w:p>
            <w:pPr>
              <w:ind w:left="540"/>
              <w:spacing w:after="0"/>
              <w:rPr>
                <w:sz w:val="20"/>
                <w:szCs w:val="20"/>
                <w:color w:val="auto"/>
              </w:rPr>
            </w:pPr>
            <w:r>
              <w:rPr>
                <w:rFonts w:ascii="Calibri" w:cs="Calibri" w:eastAsia="Calibri" w:hAnsi="Calibri"/>
                <w:sz w:val="20"/>
                <w:szCs w:val="20"/>
                <w:color w:val="auto"/>
              </w:rPr>
              <w:t>Delivery of policy</w:t>
            </w:r>
          </w:p>
        </w:tc>
        <w:tc>
          <w:tcPr>
            <w:tcW w:w="1420" w:type="dxa"/>
            <w:vAlign w:val="bottom"/>
          </w:tcPr>
          <w:p>
            <w:pPr>
              <w:jc w:val="right"/>
              <w:spacing w:after="0"/>
              <w:rPr>
                <w:sz w:val="20"/>
                <w:szCs w:val="20"/>
                <w:color w:val="auto"/>
              </w:rPr>
            </w:pPr>
            <w:r>
              <w:rPr>
                <w:rFonts w:ascii="Calibri" w:cs="Calibri" w:eastAsia="Calibri" w:hAnsi="Calibri"/>
                <w:sz w:val="20"/>
                <w:szCs w:val="20"/>
                <w:color w:val="auto"/>
              </w:rPr>
              <w:t>15</w:t>
            </w:r>
          </w:p>
        </w:tc>
      </w:tr>
      <w:tr>
        <w:trPr>
          <w:trHeight w:val="256"/>
        </w:trPr>
        <w:tc>
          <w:tcPr>
            <w:tcW w:w="8460" w:type="dxa"/>
            <w:vAlign w:val="bottom"/>
          </w:tcPr>
          <w:p>
            <w:pPr>
              <w:ind w:left="540"/>
              <w:spacing w:after="0"/>
              <w:rPr>
                <w:sz w:val="20"/>
                <w:szCs w:val="20"/>
                <w:color w:val="auto"/>
              </w:rPr>
            </w:pPr>
            <w:r>
              <w:rPr>
                <w:rFonts w:ascii="Calibri" w:cs="Calibri" w:eastAsia="Calibri" w:hAnsi="Calibri"/>
                <w:sz w:val="20"/>
                <w:szCs w:val="20"/>
                <w:color w:val="auto"/>
              </w:rPr>
              <w:t>Amendments</w:t>
            </w:r>
          </w:p>
        </w:tc>
        <w:tc>
          <w:tcPr>
            <w:tcW w:w="1420" w:type="dxa"/>
            <w:vAlign w:val="bottom"/>
          </w:tcPr>
          <w:p>
            <w:pPr>
              <w:jc w:val="right"/>
              <w:spacing w:after="0"/>
              <w:rPr>
                <w:sz w:val="20"/>
                <w:szCs w:val="20"/>
                <w:color w:val="auto"/>
              </w:rPr>
            </w:pPr>
            <w:r>
              <w:rPr>
                <w:rFonts w:ascii="Calibri" w:cs="Calibri" w:eastAsia="Calibri" w:hAnsi="Calibri"/>
                <w:sz w:val="20"/>
                <w:szCs w:val="20"/>
                <w:color w:val="auto"/>
              </w:rPr>
              <w:t>15</w:t>
            </w:r>
          </w:p>
        </w:tc>
      </w:tr>
    </w:tbl>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SCHEDULE I (Individuals subject to quarterly blackout periods)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SCHEDULE II (Individuals subject to pre-clearance requirements)</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SCHEDULE III (Individuals subject to Secton 16 reportng and liability provisions)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Calibri" w:cs="Calibri" w:eastAsia="Calibri" w:hAnsi="Calibri"/>
          <w:sz w:val="22"/>
          <w:szCs w:val="22"/>
          <w:color w:val="auto"/>
        </w:rPr>
        <w:t>-ii-</w:t>
      </w:r>
    </w:p>
    <w:p>
      <w:pPr>
        <w:sectPr>
          <w:pgSz w:w="11900" w:h="16838" w:orient="portrait"/>
          <w:cols w:equalWidth="0" w:num="1">
            <w:col w:w="11140"/>
          </w:cols>
          <w:pgMar w:left="320" w:top="105" w:right="439" w:bottom="1440" w:gutter="0" w:footer="0" w:header="0"/>
        </w:sectPr>
      </w:pPr>
    </w:p>
    <w:bookmarkStart w:id="127" w:name="page128"/>
    <w:bookmarkEnd w:id="127"/>
    <w:p>
      <w:pPr>
        <w:jc w:val="center"/>
        <w:spacing w:after="0"/>
        <w:rPr>
          <w:sz w:val="20"/>
          <w:szCs w:val="20"/>
          <w:color w:val="auto"/>
        </w:rPr>
      </w:pPr>
      <w:r>
        <w:rPr>
          <w:rFonts w:ascii="Calibri" w:cs="Calibri" w:eastAsia="Calibri" w:hAnsi="Calibri"/>
          <w:sz w:val="20"/>
          <w:szCs w:val="20"/>
          <w:b w:val="1"/>
          <w:bCs w:val="1"/>
          <w:color w:val="auto"/>
        </w:rPr>
        <w:t>INTRODUCTION</w:t>
      </w:r>
    </w:p>
    <w:p>
      <w:pPr>
        <w:spacing w:after="0" w:line="211" w:lineRule="exact"/>
        <w:rPr>
          <w:sz w:val="20"/>
          <w:szCs w:val="20"/>
          <w:color w:val="auto"/>
        </w:rPr>
      </w:pPr>
    </w:p>
    <w:p>
      <w:pPr>
        <w:jc w:val="both"/>
        <w:ind w:firstLine="324"/>
        <w:spacing w:after="0" w:line="231" w:lineRule="auto"/>
        <w:rPr>
          <w:sz w:val="20"/>
          <w:szCs w:val="20"/>
          <w:color w:val="auto"/>
        </w:rPr>
      </w:pPr>
      <w:r>
        <w:rPr>
          <w:rFonts w:ascii="Calibri" w:cs="Calibri" w:eastAsia="Calibri" w:hAnsi="Calibri"/>
          <w:sz w:val="20"/>
          <w:szCs w:val="20"/>
          <w:color w:val="auto"/>
        </w:rPr>
        <w:t>comScore, Inc. (together with its subsidiaries, the “</w:t>
      </w:r>
      <w:r>
        <w:rPr>
          <w:rFonts w:ascii="Calibri" w:cs="Calibri" w:eastAsia="Calibri" w:hAnsi="Calibri"/>
          <w:sz w:val="20"/>
          <w:szCs w:val="20"/>
          <w:b w:val="1"/>
          <w:bCs w:val="1"/>
          <w:i w:val="1"/>
          <w:iCs w:val="1"/>
          <w:color w:val="auto"/>
        </w:rPr>
        <w:t>Company</w:t>
      </w:r>
      <w:r>
        <w:rPr>
          <w:rFonts w:ascii="Calibri" w:cs="Calibri" w:eastAsia="Calibri" w:hAnsi="Calibri"/>
          <w:sz w:val="20"/>
          <w:szCs w:val="20"/>
          <w:color w:val="auto"/>
        </w:rPr>
        <w:t>”) prohibits the unauthorized disclosure of any nonpublic informaton acquired in the course of your service with the Company and the misuse of material nonpublic informaton in securites trading. Any such actons will be deemed violatons of this Insider Trading Policy (the “</w:t>
      </w:r>
      <w:r>
        <w:rPr>
          <w:rFonts w:ascii="Calibri" w:cs="Calibri" w:eastAsia="Calibri" w:hAnsi="Calibri"/>
          <w:sz w:val="20"/>
          <w:szCs w:val="20"/>
          <w:b w:val="1"/>
          <w:bCs w:val="1"/>
          <w:i w:val="1"/>
          <w:iCs w:val="1"/>
          <w:color w:val="auto"/>
        </w:rPr>
        <w:t>Policy</w:t>
      </w:r>
      <w:r>
        <w:rPr>
          <w:rFonts w:ascii="Calibri" w:cs="Calibri" w:eastAsia="Calibri" w:hAnsi="Calibri"/>
          <w:sz w:val="20"/>
          <w:szCs w:val="20"/>
          <w:color w:val="auto"/>
        </w:rPr>
        <w:t>”).</w:t>
      </w:r>
    </w:p>
    <w:p>
      <w:pPr>
        <w:spacing w:after="0" w:line="17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Legal prohibitons on insider trading</w:t>
      </w:r>
    </w:p>
    <w:p>
      <w:pPr>
        <w:spacing w:after="0" w:line="211" w:lineRule="exact"/>
        <w:rPr>
          <w:sz w:val="20"/>
          <w:szCs w:val="20"/>
          <w:color w:val="auto"/>
        </w:rPr>
      </w:pPr>
    </w:p>
    <w:p>
      <w:pPr>
        <w:jc w:val="both"/>
        <w:ind w:firstLine="324"/>
        <w:spacing w:after="0" w:line="233" w:lineRule="auto"/>
        <w:rPr>
          <w:sz w:val="20"/>
          <w:szCs w:val="20"/>
          <w:color w:val="auto"/>
        </w:rPr>
      </w:pPr>
      <w:r>
        <w:rPr>
          <w:rFonts w:ascii="Calibri" w:cs="Calibri" w:eastAsia="Calibri" w:hAnsi="Calibri"/>
          <w:sz w:val="20"/>
          <w:szCs w:val="20"/>
          <w:color w:val="auto"/>
        </w:rPr>
        <w:t>The antfraud provisions of U.S. federal securites laws prohibit directors, ofcers, employees and other individuals who possess material nonpublic informaton from trading on the basis of that informaton. Transactons will be considered “on the basis of” material nonpublic informaton if the person engaged in the transacton was aware of the material nonpublic informaton at the tme of the transacton. It is not a defense that the person did not “use” the informaton for purposes of the transacton.</w:t>
      </w:r>
    </w:p>
    <w:p>
      <w:pPr>
        <w:spacing w:after="0" w:line="213" w:lineRule="exact"/>
        <w:rPr>
          <w:sz w:val="20"/>
          <w:szCs w:val="20"/>
          <w:color w:val="auto"/>
        </w:rPr>
      </w:pPr>
    </w:p>
    <w:p>
      <w:pPr>
        <w:jc w:val="both"/>
        <w:ind w:firstLine="324"/>
        <w:spacing w:after="0" w:line="233" w:lineRule="auto"/>
        <w:rPr>
          <w:sz w:val="20"/>
          <w:szCs w:val="20"/>
          <w:color w:val="auto"/>
        </w:rPr>
      </w:pPr>
      <w:r>
        <w:rPr>
          <w:rFonts w:ascii="Calibri" w:cs="Calibri" w:eastAsia="Calibri" w:hAnsi="Calibri"/>
          <w:sz w:val="20"/>
          <w:szCs w:val="20"/>
          <w:color w:val="auto"/>
        </w:rPr>
        <w:t>Disclosing material nonpublic informaton directly or indirectly to others who then trade based on that informaton or making recommendatons or expressing opinions as to transactons in securites while aware of material nonpublic informaton (which is sometmes referred to as “</w:t>
      </w:r>
      <w:r>
        <w:rPr>
          <w:rFonts w:ascii="Calibri" w:cs="Calibri" w:eastAsia="Calibri" w:hAnsi="Calibri"/>
          <w:sz w:val="20"/>
          <w:szCs w:val="20"/>
          <w:b w:val="1"/>
          <w:bCs w:val="1"/>
          <w:i w:val="1"/>
          <w:iCs w:val="1"/>
          <w:color w:val="auto"/>
        </w:rPr>
        <w:t>tpping</w:t>
      </w:r>
      <w:r>
        <w:rPr>
          <w:rFonts w:ascii="Calibri" w:cs="Calibri" w:eastAsia="Calibri" w:hAnsi="Calibri"/>
          <w:sz w:val="20"/>
          <w:szCs w:val="20"/>
          <w:color w:val="auto"/>
        </w:rPr>
        <w:t>”) is also illegal. Both the person who provides the informaton, recommendaton or opinion and the person who trades based on it may be liable.</w:t>
      </w:r>
    </w:p>
    <w:p>
      <w:pPr>
        <w:spacing w:after="0" w:line="226" w:lineRule="exact"/>
        <w:rPr>
          <w:sz w:val="20"/>
          <w:szCs w:val="20"/>
          <w:color w:val="auto"/>
        </w:rPr>
      </w:pPr>
    </w:p>
    <w:p>
      <w:pPr>
        <w:jc w:val="both"/>
        <w:ind w:firstLine="324"/>
        <w:spacing w:after="0" w:line="228" w:lineRule="auto"/>
        <w:rPr>
          <w:sz w:val="20"/>
          <w:szCs w:val="20"/>
          <w:color w:val="auto"/>
        </w:rPr>
      </w:pPr>
      <w:r>
        <w:rPr>
          <w:rFonts w:ascii="Calibri" w:cs="Calibri" w:eastAsia="Calibri" w:hAnsi="Calibri"/>
          <w:sz w:val="20"/>
          <w:szCs w:val="20"/>
          <w:color w:val="auto"/>
        </w:rPr>
        <w:t>These illegal actvites are commonly referred to as “</w:t>
      </w:r>
      <w:r>
        <w:rPr>
          <w:rFonts w:ascii="Calibri" w:cs="Calibri" w:eastAsia="Calibri" w:hAnsi="Calibri"/>
          <w:sz w:val="20"/>
          <w:szCs w:val="20"/>
          <w:b w:val="1"/>
          <w:bCs w:val="1"/>
          <w:i w:val="1"/>
          <w:iCs w:val="1"/>
          <w:color w:val="auto"/>
        </w:rPr>
        <w:t>insider trading</w:t>
      </w:r>
      <w:r>
        <w:rPr>
          <w:rFonts w:ascii="Calibri" w:cs="Calibri" w:eastAsia="Calibri" w:hAnsi="Calibri"/>
          <w:sz w:val="20"/>
          <w:szCs w:val="20"/>
          <w:color w:val="auto"/>
        </w:rPr>
        <w:t>”. State securites laws and securites laws of other jurisdictons also impose restrictons on insider trading.</w:t>
      </w:r>
    </w:p>
    <w:p>
      <w:pPr>
        <w:spacing w:after="0" w:line="225" w:lineRule="exact"/>
        <w:rPr>
          <w:sz w:val="20"/>
          <w:szCs w:val="20"/>
          <w:color w:val="auto"/>
        </w:rPr>
      </w:pPr>
    </w:p>
    <w:p>
      <w:pPr>
        <w:jc w:val="both"/>
        <w:ind w:firstLine="324"/>
        <w:spacing w:after="0"/>
        <w:rPr>
          <w:sz w:val="20"/>
          <w:szCs w:val="20"/>
          <w:color w:val="auto"/>
        </w:rPr>
      </w:pPr>
      <w:r>
        <w:rPr>
          <w:rFonts w:ascii="Calibri" w:cs="Calibri" w:eastAsia="Calibri" w:hAnsi="Calibri"/>
          <w:sz w:val="20"/>
          <w:szCs w:val="20"/>
          <w:color w:val="auto"/>
        </w:rPr>
        <w:t>In additon, a company, as well as individual directors, ofcers and other supervisory personnel, may be subject to liability as “controlling persons” for failure to take appropriate steps to prevent insider trading by those under their supervision, infuence or control.</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Detecton and prosecuton of insider trading</w:t>
      </w:r>
    </w:p>
    <w:p>
      <w:pPr>
        <w:spacing w:after="0" w:line="198" w:lineRule="exact"/>
        <w:rPr>
          <w:sz w:val="20"/>
          <w:szCs w:val="20"/>
          <w:color w:val="auto"/>
        </w:rPr>
      </w:pPr>
    </w:p>
    <w:p>
      <w:pPr>
        <w:jc w:val="both"/>
        <w:ind w:right="20" w:firstLine="324"/>
        <w:spacing w:after="0" w:line="233" w:lineRule="auto"/>
        <w:rPr>
          <w:sz w:val="20"/>
          <w:szCs w:val="20"/>
          <w:color w:val="auto"/>
        </w:rPr>
      </w:pPr>
      <w:r>
        <w:rPr>
          <w:rFonts w:ascii="Calibri" w:cs="Calibri" w:eastAsia="Calibri" w:hAnsi="Calibri"/>
          <w:sz w:val="20"/>
          <w:szCs w:val="20"/>
          <w:color w:val="auto"/>
        </w:rPr>
        <w:t>The U.S. Securites and Exchange Commission (the “</w:t>
      </w:r>
      <w:r>
        <w:rPr>
          <w:rFonts w:ascii="Calibri" w:cs="Calibri" w:eastAsia="Calibri" w:hAnsi="Calibri"/>
          <w:sz w:val="20"/>
          <w:szCs w:val="20"/>
          <w:b w:val="1"/>
          <w:bCs w:val="1"/>
          <w:i w:val="1"/>
          <w:iCs w:val="1"/>
          <w:color w:val="auto"/>
        </w:rPr>
        <w:t>SEC</w:t>
      </w:r>
      <w:r>
        <w:rPr>
          <w:rFonts w:ascii="Calibri" w:cs="Calibri" w:eastAsia="Calibri" w:hAnsi="Calibri"/>
          <w:sz w:val="20"/>
          <w:szCs w:val="20"/>
          <w:color w:val="auto"/>
        </w:rPr>
        <w:t>”), the Natonal Associaton of Securites Dealers and natonal stock exchanges use sophistcated electronic surveillance techniques to investgate and detect insider trading, and the SEC and the U.S. Department of Justce pursue insider trading violatons vigorously. Cases involving trading through foreign accounts, trading by family members and friends and trading involving only a small number of shares have been successfully prosecuted.</w:t>
      </w:r>
    </w:p>
    <w:p>
      <w:pPr>
        <w:spacing w:after="0" w:line="19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Penaltes for violaton of insider trading laws and this Policy</w:t>
      </w:r>
    </w:p>
    <w:p>
      <w:pPr>
        <w:spacing w:after="0" w:line="211" w:lineRule="exact"/>
        <w:rPr>
          <w:sz w:val="20"/>
          <w:szCs w:val="20"/>
          <w:color w:val="auto"/>
        </w:rPr>
      </w:pPr>
    </w:p>
    <w:p>
      <w:pPr>
        <w:jc w:val="both"/>
        <w:ind w:firstLine="324"/>
        <w:spacing w:after="0" w:line="231" w:lineRule="auto"/>
        <w:rPr>
          <w:sz w:val="20"/>
          <w:szCs w:val="20"/>
          <w:color w:val="auto"/>
        </w:rPr>
      </w:pPr>
      <w:r>
        <w:rPr>
          <w:rFonts w:ascii="Calibri" w:cs="Calibri" w:eastAsia="Calibri" w:hAnsi="Calibri"/>
          <w:sz w:val="20"/>
          <w:szCs w:val="20"/>
          <w:i w:val="1"/>
          <w:iCs w:val="1"/>
          <w:color w:val="auto"/>
        </w:rPr>
        <w:t xml:space="preserve">Civil and criminal penaltes. </w:t>
      </w:r>
      <w:r>
        <w:rPr>
          <w:rFonts w:ascii="Calibri" w:cs="Calibri" w:eastAsia="Calibri" w:hAnsi="Calibri"/>
          <w:sz w:val="20"/>
          <w:szCs w:val="20"/>
          <w:color w:val="auto"/>
        </w:rPr>
        <w:t>Civil and criminal penaltes may result from insider trading violatons or tpping under U.S. federal</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securites laws. The SEC has imposed large penaltes in tpping cases even when the disclosing person did not trade or gain any beneft from another person’s trading.</w:t>
      </w:r>
    </w:p>
    <w:p>
      <w:pPr>
        <w:spacing w:after="0" w:line="213" w:lineRule="exact"/>
        <w:rPr>
          <w:sz w:val="20"/>
          <w:szCs w:val="20"/>
          <w:color w:val="auto"/>
        </w:rPr>
      </w:pPr>
    </w:p>
    <w:p>
      <w:pPr>
        <w:jc w:val="both"/>
        <w:ind w:firstLine="324"/>
        <w:spacing w:after="0" w:line="234" w:lineRule="auto"/>
        <w:rPr>
          <w:sz w:val="20"/>
          <w:szCs w:val="20"/>
          <w:color w:val="auto"/>
        </w:rPr>
      </w:pPr>
      <w:r>
        <w:rPr>
          <w:rFonts w:ascii="Calibri" w:cs="Calibri" w:eastAsia="Calibri" w:hAnsi="Calibri"/>
          <w:sz w:val="20"/>
          <w:szCs w:val="20"/>
          <w:i w:val="1"/>
          <w:iCs w:val="1"/>
          <w:color w:val="auto"/>
        </w:rPr>
        <w:t xml:space="preserve">Company disciplinary actons. </w:t>
      </w:r>
      <w:r>
        <w:rPr>
          <w:rFonts w:ascii="Calibri" w:cs="Calibri" w:eastAsia="Calibri" w:hAnsi="Calibri"/>
          <w:sz w:val="20"/>
          <w:szCs w:val="20"/>
          <w:color w:val="auto"/>
        </w:rPr>
        <w:t>If the Company has a reasonable basis to conclude that you have failed to comply with this Policy, you</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may be subject to disciplinary acton by the Company, up to and including dismissal for cause, regardless of whether or not your failure to comply with this Policy results in a violaton of law. It is not necessary for the Company to wait for the fling or conclusion of any civil or criminal acton against an alleged violator before taking disciplinary acton. In additon, the Company may give stop-transfer and other instructons to the Company’s transfer agent to enforce compliance with this Policy.</w:t>
      </w:r>
    </w:p>
    <w:p>
      <w:pPr>
        <w:sectPr>
          <w:pgSz w:w="11900" w:h="16838" w:orient="portrait"/>
          <w:cols w:equalWidth="0" w:num="1">
            <w:col w:w="11240"/>
          </w:cols>
          <w:pgMar w:left="320" w:top="1374" w:right="339" w:bottom="1440" w:gutter="0" w:footer="0" w:header="0"/>
        </w:sectPr>
      </w:pPr>
    </w:p>
    <w:bookmarkStart w:id="128" w:name="page129"/>
    <w:bookmarkEnd w:id="128"/>
    <w:p>
      <w:pPr>
        <w:spacing w:after="0"/>
        <w:rPr>
          <w:sz w:val="20"/>
          <w:szCs w:val="20"/>
          <w:color w:val="auto"/>
        </w:rPr>
      </w:pPr>
      <w:r>
        <w:rPr>
          <w:rFonts w:ascii="Calibri" w:cs="Calibri" w:eastAsia="Calibri" w:hAnsi="Calibri"/>
          <w:sz w:val="20"/>
          <w:szCs w:val="20"/>
          <w:b w:val="1"/>
          <w:bCs w:val="1"/>
          <w:color w:val="auto"/>
        </w:rPr>
        <w:t>Compliance Ofcer</w:t>
      </w:r>
    </w:p>
    <w:p>
      <w:pPr>
        <w:spacing w:after="0" w:line="211" w:lineRule="exact"/>
        <w:rPr>
          <w:sz w:val="20"/>
          <w:szCs w:val="20"/>
          <w:color w:val="auto"/>
        </w:rPr>
      </w:pPr>
    </w:p>
    <w:p>
      <w:pPr>
        <w:jc w:val="both"/>
        <w:ind w:firstLine="324"/>
        <w:spacing w:after="0" w:line="231" w:lineRule="auto"/>
        <w:rPr>
          <w:sz w:val="20"/>
          <w:szCs w:val="20"/>
          <w:color w:val="auto"/>
        </w:rPr>
      </w:pPr>
      <w:r>
        <w:rPr>
          <w:rFonts w:ascii="Calibri" w:cs="Calibri" w:eastAsia="Calibri" w:hAnsi="Calibri"/>
          <w:sz w:val="20"/>
          <w:szCs w:val="20"/>
          <w:color w:val="auto"/>
        </w:rPr>
        <w:t>Please direct any questons, requests or reports as to any of the maters discussed in this Policy to the General Counsel of the Company (the “</w:t>
      </w:r>
      <w:r>
        <w:rPr>
          <w:rFonts w:ascii="Calibri" w:cs="Calibri" w:eastAsia="Calibri" w:hAnsi="Calibri"/>
          <w:sz w:val="20"/>
          <w:szCs w:val="20"/>
          <w:b w:val="1"/>
          <w:bCs w:val="1"/>
          <w:i w:val="1"/>
          <w:iCs w:val="1"/>
          <w:color w:val="auto"/>
        </w:rPr>
        <w:t>Compliance Ofcer</w:t>
      </w:r>
      <w:r>
        <w:rPr>
          <w:rFonts w:ascii="Calibri" w:cs="Calibri" w:eastAsia="Calibri" w:hAnsi="Calibri"/>
          <w:sz w:val="20"/>
          <w:szCs w:val="20"/>
          <w:color w:val="auto"/>
        </w:rPr>
        <w:t>”). The Compliance Ofcer is generally responsible for the administraton of this Policy. The Compliance Ofcer may select others to assist with the executon of his or her dutes.</w:t>
      </w:r>
    </w:p>
    <w:p>
      <w:pPr>
        <w:spacing w:after="0" w:line="17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Reportng violatons</w:t>
      </w:r>
    </w:p>
    <w:p>
      <w:pPr>
        <w:spacing w:after="0" w:line="211" w:lineRule="exact"/>
        <w:rPr>
          <w:sz w:val="20"/>
          <w:szCs w:val="20"/>
          <w:color w:val="auto"/>
        </w:rPr>
      </w:pPr>
    </w:p>
    <w:p>
      <w:pPr>
        <w:jc w:val="both"/>
        <w:ind w:firstLine="324"/>
        <w:spacing w:after="0" w:line="233" w:lineRule="auto"/>
        <w:rPr>
          <w:sz w:val="20"/>
          <w:szCs w:val="20"/>
          <w:color w:val="auto"/>
        </w:rPr>
      </w:pPr>
      <w:r>
        <w:rPr>
          <w:rFonts w:ascii="Calibri" w:cs="Calibri" w:eastAsia="Calibri" w:hAnsi="Calibri"/>
          <w:sz w:val="20"/>
          <w:szCs w:val="20"/>
          <w:color w:val="auto"/>
        </w:rPr>
        <w:t>It is your responsibility to help enforce this Policy. You should be alert to possible violatons and promptly report violatons or suspected violatons of this Policy to the Compliance Ofcer. If your situaton requires that your identty be kept secret, your anonymity will be preserved to the greatest extent reasonably possible. If you wish to remain anonymous, send a leter addressed to the Compliance Ofcer at comScore, Inc., 11950 Democracy Drive, Suite 600, Reston, VA 20190, or use the anonymous hotline described in the Company’s code of conduct. If you make an anonymous report, please provide as much detail as possible, including any evidence that you believe may be relevant to the issue.</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Personal responsibility</w:t>
      </w:r>
    </w:p>
    <w:p>
      <w:pPr>
        <w:spacing w:after="0" w:line="198" w:lineRule="exact"/>
        <w:rPr>
          <w:sz w:val="20"/>
          <w:szCs w:val="20"/>
          <w:color w:val="auto"/>
        </w:rPr>
      </w:pPr>
    </w:p>
    <w:p>
      <w:pPr>
        <w:jc w:val="both"/>
        <w:ind w:firstLine="324"/>
        <w:spacing w:after="0"/>
        <w:rPr>
          <w:sz w:val="20"/>
          <w:szCs w:val="20"/>
          <w:color w:val="auto"/>
        </w:rPr>
      </w:pPr>
      <w:r>
        <w:rPr>
          <w:rFonts w:ascii="Calibri" w:cs="Calibri" w:eastAsia="Calibri" w:hAnsi="Calibri"/>
          <w:sz w:val="20"/>
          <w:szCs w:val="20"/>
          <w:color w:val="auto"/>
        </w:rPr>
        <w:t>The ultmate responsibility for complying with this Policy and applicable laws and regulatons rests with you. You should use your best judgment at all tmes and consult with your legal and fnancial advisors, as needed. We advise you to seek assistance if you have any questons at all. The rules relatng to insider trading can be complex, and a violaton of insider trading laws can carry severe consequences.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Twenty-twenty hindsight</w:t>
      </w:r>
    </w:p>
    <w:p>
      <w:pPr>
        <w:spacing w:after="0" w:line="198" w:lineRule="exact"/>
        <w:rPr>
          <w:sz w:val="20"/>
          <w:szCs w:val="20"/>
          <w:color w:val="auto"/>
        </w:rPr>
      </w:pPr>
    </w:p>
    <w:p>
      <w:pPr>
        <w:jc w:val="both"/>
        <w:ind w:firstLine="324"/>
        <w:spacing w:after="0" w:line="233" w:lineRule="auto"/>
        <w:rPr>
          <w:sz w:val="20"/>
          <w:szCs w:val="20"/>
          <w:color w:val="auto"/>
        </w:rPr>
      </w:pPr>
      <w:r>
        <w:rPr>
          <w:rFonts w:ascii="Calibri" w:cs="Calibri" w:eastAsia="Calibri" w:hAnsi="Calibri"/>
          <w:sz w:val="20"/>
          <w:szCs w:val="20"/>
          <w:color w:val="auto"/>
        </w:rPr>
        <w:t>Be aware that if securites transactons ever become the subject of scrutny, they are likely to be viewed afer-the-fact with the beneft of hindsight and thus some decisions that seem valid at the tme might appear questonable under later review. Therefore, you should always carefully consider every securites transacton and seek the advice of the Compliance Ofcer and your personal legal and fnancial advisors if you have any questons at all.</w:t>
      </w:r>
    </w:p>
    <w:p>
      <w:pPr>
        <w:spacing w:after="0" w:line="19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 circumventon</w:t>
      </w:r>
    </w:p>
    <w:p>
      <w:pPr>
        <w:spacing w:after="0" w:line="198" w:lineRule="exact"/>
        <w:rPr>
          <w:sz w:val="20"/>
          <w:szCs w:val="20"/>
          <w:color w:val="auto"/>
        </w:rPr>
      </w:pPr>
    </w:p>
    <w:p>
      <w:pPr>
        <w:jc w:val="both"/>
        <w:ind w:firstLine="324"/>
        <w:spacing w:after="0" w:line="236" w:lineRule="auto"/>
        <w:rPr>
          <w:sz w:val="20"/>
          <w:szCs w:val="20"/>
          <w:color w:val="auto"/>
        </w:rPr>
      </w:pPr>
      <w:r>
        <w:rPr>
          <w:rFonts w:ascii="Calibri" w:cs="Calibri" w:eastAsia="Calibri" w:hAnsi="Calibri"/>
          <w:sz w:val="20"/>
          <w:szCs w:val="20"/>
          <w:color w:val="auto"/>
        </w:rPr>
        <w:t>No circumventon of this Policy is permited. Do not try to accomplish indirectly what is prohibited directly by this Policy. The short-term benefts to an individual cannot outweigh the potental liability that may result from trading securites against the intent of this Policy or securites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374" w:right="339" w:bottom="1440" w:gutter="0" w:footer="0" w:header="0"/>
        </w:sectPr>
      </w:pPr>
    </w:p>
    <w:bookmarkStart w:id="129" w:name="page130"/>
    <w:bookmarkEnd w:id="129"/>
    <w:p>
      <w:pPr>
        <w:jc w:val="center"/>
        <w:spacing w:after="0"/>
        <w:rPr>
          <w:sz w:val="20"/>
          <w:szCs w:val="20"/>
          <w:color w:val="auto"/>
        </w:rPr>
      </w:pPr>
      <w:r>
        <w:rPr>
          <w:rFonts w:ascii="Calibri" w:cs="Calibri" w:eastAsia="Calibri" w:hAnsi="Calibri"/>
          <w:sz w:val="20"/>
          <w:szCs w:val="20"/>
          <w:b w:val="1"/>
          <w:bCs w:val="1"/>
          <w:color w:val="auto"/>
        </w:rPr>
        <w:t>PERSONS AND TRANSACTIONS COVERED BY THIS POLICY</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Persons covered by this Policy</w:t>
      </w:r>
    </w:p>
    <w:p>
      <w:pPr>
        <w:spacing w:after="0" w:line="198" w:lineRule="exact"/>
        <w:rPr>
          <w:sz w:val="20"/>
          <w:szCs w:val="20"/>
          <w:color w:val="auto"/>
        </w:rPr>
      </w:pPr>
    </w:p>
    <w:p>
      <w:pPr>
        <w:jc w:val="both"/>
        <w:ind w:firstLine="324"/>
        <w:spacing w:after="0" w:line="234" w:lineRule="auto"/>
        <w:rPr>
          <w:sz w:val="20"/>
          <w:szCs w:val="20"/>
          <w:color w:val="auto"/>
        </w:rPr>
      </w:pPr>
      <w:r>
        <w:rPr>
          <w:rFonts w:ascii="Calibri" w:cs="Calibri" w:eastAsia="Calibri" w:hAnsi="Calibri"/>
          <w:sz w:val="20"/>
          <w:szCs w:val="20"/>
          <w:color w:val="auto"/>
        </w:rPr>
        <w:t>This Policy applies to all directors, ofcers, employees and certain agents (such as consultants and independent contractors) of the Company. References in this Policy to “you” (as well as general references to directors, ofcers, employees and agents of the Company) should also be understood to include members of your immediate family, persons with whom you share a household, persons that are your economic dependents and any other individuals or enttes whose transactons in securites you direct or control. You are responsible for making sure that these other individuals and enttes comply with this Policy.</w:t>
      </w:r>
    </w:p>
    <w:p>
      <w:pPr>
        <w:spacing w:after="0" w:line="17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Types of transactons covered by this Policy</w:t>
      </w:r>
    </w:p>
    <w:p>
      <w:pPr>
        <w:spacing w:after="0" w:line="211" w:lineRule="exact"/>
        <w:rPr>
          <w:sz w:val="20"/>
          <w:szCs w:val="20"/>
          <w:color w:val="auto"/>
        </w:rPr>
      </w:pPr>
    </w:p>
    <w:p>
      <w:pPr>
        <w:jc w:val="both"/>
        <w:ind w:firstLine="324"/>
        <w:spacing w:after="0" w:line="232" w:lineRule="auto"/>
        <w:rPr>
          <w:sz w:val="20"/>
          <w:szCs w:val="20"/>
          <w:color w:val="auto"/>
        </w:rPr>
      </w:pPr>
      <w:r>
        <w:rPr>
          <w:rFonts w:ascii="Calibri" w:cs="Calibri" w:eastAsia="Calibri" w:hAnsi="Calibri"/>
          <w:sz w:val="20"/>
          <w:szCs w:val="20"/>
          <w:color w:val="auto"/>
        </w:rPr>
        <w:t>Except as discussed in the secton enttled “</w:t>
      </w:r>
      <w:r>
        <w:rPr>
          <w:rFonts w:ascii="Calibri" w:cs="Calibri" w:eastAsia="Calibri" w:hAnsi="Calibri"/>
          <w:sz w:val="20"/>
          <w:szCs w:val="20"/>
          <w:b w:val="1"/>
          <w:bCs w:val="1"/>
          <w:color w:val="auto"/>
        </w:rPr>
        <w:t>Limited Exceptons</w:t>
      </w:r>
      <w:r>
        <w:rPr>
          <w:rFonts w:ascii="Calibri" w:cs="Calibri" w:eastAsia="Calibri" w:hAnsi="Calibri"/>
          <w:sz w:val="20"/>
          <w:szCs w:val="20"/>
          <w:color w:val="auto"/>
        </w:rPr>
        <w:t xml:space="preserve">”, this Policy applies to </w:t>
      </w:r>
      <w:r>
        <w:rPr>
          <w:rFonts w:ascii="Calibri" w:cs="Calibri" w:eastAsia="Calibri" w:hAnsi="Calibri"/>
          <w:sz w:val="20"/>
          <w:szCs w:val="20"/>
          <w:i w:val="1"/>
          <w:iCs w:val="1"/>
          <w:color w:val="auto"/>
        </w:rPr>
        <w:t>all</w:t>
      </w:r>
      <w:r>
        <w:rPr>
          <w:rFonts w:ascii="Calibri" w:cs="Calibri" w:eastAsia="Calibri" w:hAnsi="Calibri"/>
          <w:sz w:val="20"/>
          <w:szCs w:val="20"/>
          <w:color w:val="auto"/>
        </w:rPr>
        <w:t xml:space="preserve"> transactons </w:t>
      </w:r>
      <w:r>
        <w:rPr>
          <w:rFonts w:ascii="Calibri" w:cs="Calibri" w:eastAsia="Calibri" w:hAnsi="Calibri"/>
          <w:sz w:val="20"/>
          <w:szCs w:val="20"/>
          <w:i w:val="1"/>
          <w:iCs w:val="1"/>
          <w:color w:val="auto"/>
        </w:rPr>
        <w:t>involving</w:t>
      </w:r>
      <w:r>
        <w:rPr>
          <w:rFonts w:ascii="Calibri" w:cs="Calibri" w:eastAsia="Calibri" w:hAnsi="Calibri"/>
          <w:sz w:val="20"/>
          <w:szCs w:val="20"/>
          <w:color w:val="auto"/>
        </w:rPr>
        <w:t xml:space="preserve"> the securites of the Company </w:t>
      </w:r>
      <w:r>
        <w:rPr>
          <w:rFonts w:ascii="Calibri" w:cs="Calibri" w:eastAsia="Calibri" w:hAnsi="Calibri"/>
          <w:sz w:val="20"/>
          <w:szCs w:val="20"/>
          <w:i w:val="1"/>
          <w:iCs w:val="1"/>
          <w:u w:val="single" w:color="auto"/>
          <w:color w:val="auto"/>
        </w:rPr>
        <w:t>or the securites of other companies as to which you possess material nonpublic informaton obtained in the course of your</w:t>
      </w:r>
      <w:r>
        <w:rPr>
          <w:rFonts w:ascii="Calibri" w:cs="Calibri" w:eastAsia="Calibri" w:hAnsi="Calibri"/>
          <w:sz w:val="20"/>
          <w:szCs w:val="20"/>
          <w:color w:val="auto"/>
        </w:rPr>
        <w:t xml:space="preserve"> </w:t>
      </w:r>
      <w:r>
        <w:rPr>
          <w:rFonts w:ascii="Calibri" w:cs="Calibri" w:eastAsia="Calibri" w:hAnsi="Calibri"/>
          <w:sz w:val="20"/>
          <w:szCs w:val="20"/>
          <w:i w:val="1"/>
          <w:iCs w:val="1"/>
          <w:u w:val="single" w:color="auto"/>
          <w:color w:val="auto"/>
        </w:rPr>
        <w:t>service with the Company</w:t>
      </w:r>
      <w:r>
        <w:rPr>
          <w:rFonts w:ascii="Calibri" w:cs="Calibri" w:eastAsia="Calibri" w:hAnsi="Calibri"/>
          <w:sz w:val="20"/>
          <w:szCs w:val="20"/>
          <w:color w:val="auto"/>
        </w:rPr>
        <w:t>. This Policy therefore applies to purchases, sales and other transfers of common stock, optons, warrants,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preferred stock, debt securites (such as debentures, bonds and notes) and other securites. This Policy also applies to any arrangements that afect economic exposure to changes in the prices of these securites. These arrangements may include, among other things, transactons in derivatve securites (such as exchange-traded put or call optons), hedging transactons, short sales and certain decisions with respect to partcipaton in beneft plans. This Policy also applies to any ofers with respect to the transactons discussed above. You should note that there are no exceptons from insider trading laws or this Policy based on the size of the transacton.</w:t>
      </w:r>
    </w:p>
    <w:p>
      <w:pPr>
        <w:spacing w:after="0" w:line="19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Responsibilites regarding the nonpublic informaton of other companies</w:t>
      </w:r>
    </w:p>
    <w:p>
      <w:pPr>
        <w:spacing w:after="0" w:line="198" w:lineRule="exact"/>
        <w:rPr>
          <w:sz w:val="20"/>
          <w:szCs w:val="20"/>
          <w:color w:val="auto"/>
        </w:rPr>
      </w:pPr>
    </w:p>
    <w:p>
      <w:pPr>
        <w:jc w:val="both"/>
        <w:ind w:firstLine="324"/>
        <w:spacing w:after="0" w:line="236" w:lineRule="auto"/>
        <w:rPr>
          <w:sz w:val="20"/>
          <w:szCs w:val="20"/>
          <w:color w:val="auto"/>
        </w:rPr>
      </w:pPr>
      <w:r>
        <w:rPr>
          <w:rFonts w:ascii="Calibri" w:cs="Calibri" w:eastAsia="Calibri" w:hAnsi="Calibri"/>
          <w:sz w:val="20"/>
          <w:szCs w:val="20"/>
          <w:color w:val="auto"/>
        </w:rPr>
        <w:t>This Policy prohibits the unauthorized disclosure or other misuse of any nonpublic informaton of other companies, such as the Company’s distributors, vendors, customers, collaborators, suppliers and compettors. This Policy also prohibits insider trading and tpping based on the material nonpublic informaton of other companies obtained in the course of your service with the Company.</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Applicability of this Policy afer your departure</w:t>
      </w:r>
    </w:p>
    <w:p>
      <w:pPr>
        <w:spacing w:after="0" w:line="211" w:lineRule="exact"/>
        <w:rPr>
          <w:sz w:val="20"/>
          <w:szCs w:val="20"/>
          <w:color w:val="auto"/>
        </w:rPr>
      </w:pPr>
    </w:p>
    <w:p>
      <w:pPr>
        <w:jc w:val="both"/>
        <w:ind w:firstLine="324"/>
        <w:spacing w:after="0" w:line="233" w:lineRule="auto"/>
        <w:rPr>
          <w:sz w:val="20"/>
          <w:szCs w:val="20"/>
          <w:color w:val="auto"/>
        </w:rPr>
      </w:pPr>
      <w:r>
        <w:rPr>
          <w:rFonts w:ascii="Calibri" w:cs="Calibri" w:eastAsia="Calibri" w:hAnsi="Calibri"/>
          <w:sz w:val="20"/>
          <w:szCs w:val="20"/>
          <w:color w:val="auto"/>
        </w:rPr>
        <w:t xml:space="preserve">You are expected to comply with this Policy untl such tme as you are no longer afliated with the Company </w:t>
      </w:r>
      <w:r>
        <w:rPr>
          <w:rFonts w:ascii="Calibri" w:cs="Calibri" w:eastAsia="Calibri" w:hAnsi="Calibri"/>
          <w:sz w:val="20"/>
          <w:szCs w:val="20"/>
          <w:i w:val="1"/>
          <w:iCs w:val="1"/>
          <w:color w:val="auto"/>
        </w:rPr>
        <w:t>and</w:t>
      </w:r>
      <w:r>
        <w:rPr>
          <w:rFonts w:ascii="Calibri" w:cs="Calibri" w:eastAsia="Calibri" w:hAnsi="Calibri"/>
          <w:sz w:val="20"/>
          <w:szCs w:val="20"/>
          <w:color w:val="auto"/>
        </w:rPr>
        <w:t xml:space="preserve"> you no longer possess any material nonpublic informaton subject to this Policy. In additon, if you are subject to a trading blackout under this Policy at the tme you cease to be afliated with the Company, you are expected to abide by the applicable trading restrictons untl at least the end of the relevant blackout period.</w:t>
      </w:r>
    </w:p>
    <w:p>
      <w:pPr>
        <w:spacing w:after="0" w:line="17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 exceptons based on personal circumstances</w:t>
      </w:r>
    </w:p>
    <w:p>
      <w:pPr>
        <w:spacing w:after="0" w:line="211" w:lineRule="exact"/>
        <w:rPr>
          <w:sz w:val="20"/>
          <w:szCs w:val="20"/>
          <w:color w:val="auto"/>
        </w:rPr>
      </w:pPr>
    </w:p>
    <w:p>
      <w:pPr>
        <w:jc w:val="both"/>
        <w:ind w:firstLine="324"/>
        <w:spacing w:after="0" w:line="231" w:lineRule="auto"/>
        <w:rPr>
          <w:sz w:val="20"/>
          <w:szCs w:val="20"/>
          <w:color w:val="auto"/>
        </w:rPr>
      </w:pPr>
      <w:r>
        <w:rPr>
          <w:rFonts w:ascii="Calibri" w:cs="Calibri" w:eastAsia="Calibri" w:hAnsi="Calibri"/>
          <w:sz w:val="20"/>
          <w:szCs w:val="20"/>
          <w:color w:val="auto"/>
        </w:rPr>
        <w:t>There may be instances where you sufer fnancial harm or other hardship or are otherwise required to forego a planned transacton because of the restrictons imposed by this Policy. Personal fnancial emergency or other personal circumstances are not mitgatng factors under securites laws and will not excuse a failure to comply with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40"/>
          </w:cols>
          <w:pgMar w:left="320" w:top="1374" w:right="339" w:bottom="1440" w:gutter="0" w:footer="0" w:header="0"/>
        </w:sectPr>
      </w:pPr>
    </w:p>
    <w:bookmarkStart w:id="130" w:name="page131"/>
    <w:bookmarkEnd w:id="130"/>
    <w:p>
      <w:pPr>
        <w:jc w:val="center"/>
        <w:spacing w:after="0"/>
        <w:rPr>
          <w:sz w:val="20"/>
          <w:szCs w:val="20"/>
          <w:color w:val="auto"/>
        </w:rPr>
      </w:pPr>
      <w:r>
        <w:rPr>
          <w:rFonts w:ascii="Calibri" w:cs="Calibri" w:eastAsia="Calibri" w:hAnsi="Calibri"/>
          <w:sz w:val="20"/>
          <w:szCs w:val="20"/>
          <w:b w:val="1"/>
          <w:bCs w:val="1"/>
          <w:color w:val="auto"/>
        </w:rPr>
        <w:t>MATERIAL NONPUBLIC INFORMATION</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“Material” informaton</w:t>
      </w:r>
    </w:p>
    <w:p>
      <w:pPr>
        <w:spacing w:after="0" w:line="198" w:lineRule="exact"/>
        <w:rPr>
          <w:sz w:val="20"/>
          <w:szCs w:val="20"/>
          <w:color w:val="auto"/>
        </w:rPr>
      </w:pPr>
    </w:p>
    <w:p>
      <w:pPr>
        <w:jc w:val="both"/>
        <w:ind w:firstLine="324"/>
        <w:spacing w:after="0" w:line="233" w:lineRule="auto"/>
        <w:rPr>
          <w:sz w:val="20"/>
          <w:szCs w:val="20"/>
          <w:color w:val="auto"/>
        </w:rPr>
      </w:pPr>
      <w:r>
        <w:rPr>
          <w:rFonts w:ascii="Calibri" w:cs="Calibri" w:eastAsia="Calibri" w:hAnsi="Calibri"/>
          <w:sz w:val="20"/>
          <w:szCs w:val="20"/>
          <w:color w:val="auto"/>
        </w:rPr>
        <w:t>Informaton should be regarded as material if there is a substantal likelihood that a reasonable investor would consider it important in deciding whether to buy, hold or sell securites or would view the informaton as signifcantly altering the total mix of informaton in the marketplace about the issuer of the security. In general, any informaton that could reasonably be expected to afect the market price of a security is likely to be material. Either positve or negatve informaton may be material.</w:t>
      </w:r>
    </w:p>
    <w:p>
      <w:pPr>
        <w:spacing w:after="0" w:line="226" w:lineRule="exact"/>
        <w:rPr>
          <w:sz w:val="20"/>
          <w:szCs w:val="20"/>
          <w:color w:val="auto"/>
        </w:rPr>
      </w:pPr>
    </w:p>
    <w:p>
      <w:pPr>
        <w:jc w:val="both"/>
        <w:ind w:firstLine="324"/>
        <w:spacing w:after="0" w:line="228" w:lineRule="auto"/>
        <w:rPr>
          <w:sz w:val="20"/>
          <w:szCs w:val="20"/>
          <w:color w:val="auto"/>
        </w:rPr>
      </w:pPr>
      <w:r>
        <w:rPr>
          <w:rFonts w:ascii="Calibri" w:cs="Calibri" w:eastAsia="Calibri" w:hAnsi="Calibri"/>
          <w:sz w:val="20"/>
          <w:szCs w:val="20"/>
          <w:color w:val="auto"/>
        </w:rPr>
        <w:t>It is not possible to defne all categories of “material” informaton. However, some examples of informaton that would ofen be regarded as material include informaton with respect to:</w:t>
      </w:r>
    </w:p>
    <w:p>
      <w:pPr>
        <w:spacing w:after="0" w:line="225" w:lineRule="exact"/>
        <w:rPr>
          <w:sz w:val="20"/>
          <w:szCs w:val="20"/>
          <w:color w:val="auto"/>
        </w:rPr>
      </w:pPr>
    </w:p>
    <w:p>
      <w:pPr>
        <w:ind w:left="980" w:hanging="324"/>
        <w:spacing w:after="0" w:line="214" w:lineRule="auto"/>
        <w:tabs>
          <w:tab w:leader="none" w:pos="968" w:val="left"/>
        </w:tabs>
        <w:numPr>
          <w:ilvl w:val="0"/>
          <w:numId w:val="95"/>
        </w:numPr>
        <w:rPr>
          <w:rFonts w:ascii="Times New Roman" w:cs="Times New Roman" w:eastAsia="Times New Roman" w:hAnsi="Times New Roman"/>
          <w:sz w:val="20"/>
          <w:szCs w:val="20"/>
          <w:color w:val="auto"/>
        </w:rPr>
      </w:pPr>
      <w:r>
        <w:rPr>
          <w:rFonts w:ascii="Calibri" w:cs="Calibri" w:eastAsia="Calibri" w:hAnsi="Calibri"/>
          <w:sz w:val="20"/>
          <w:szCs w:val="20"/>
          <w:color w:val="auto"/>
        </w:rPr>
        <w:t>Financial results, fnancial conditon, earnings pre-announcements, guidance, projectons or forecasts, partcularly if inconsistent with the expectatons of the investment community;</w:t>
      </w:r>
    </w:p>
    <w:p>
      <w:pPr>
        <w:spacing w:after="0" w:line="18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95"/>
        </w:numPr>
        <w:rPr>
          <w:rFonts w:ascii="Times New Roman" w:cs="Times New Roman" w:eastAsia="Times New Roman" w:hAnsi="Times New Roman"/>
          <w:sz w:val="20"/>
          <w:szCs w:val="20"/>
          <w:color w:val="auto"/>
        </w:rPr>
      </w:pPr>
      <w:r>
        <w:rPr>
          <w:rFonts w:ascii="Calibri" w:cs="Calibri" w:eastAsia="Calibri" w:hAnsi="Calibri"/>
          <w:sz w:val="20"/>
          <w:szCs w:val="20"/>
          <w:color w:val="auto"/>
        </w:rPr>
        <w:t>Restatements of fnancial results, or material impairments, write-ofs or restructurings;</w:t>
      </w:r>
    </w:p>
    <w:p>
      <w:pPr>
        <w:spacing w:after="0" w:line="20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95"/>
        </w:numPr>
        <w:rPr>
          <w:rFonts w:ascii="Times New Roman" w:cs="Times New Roman" w:eastAsia="Times New Roman" w:hAnsi="Times New Roman"/>
          <w:sz w:val="20"/>
          <w:szCs w:val="20"/>
          <w:color w:val="auto"/>
        </w:rPr>
      </w:pPr>
      <w:r>
        <w:rPr>
          <w:rFonts w:ascii="Calibri" w:cs="Calibri" w:eastAsia="Calibri" w:hAnsi="Calibri"/>
          <w:sz w:val="20"/>
          <w:szCs w:val="20"/>
          <w:color w:val="auto"/>
        </w:rPr>
        <w:t>Changes in independent auditors, or notfcaton that the Company may no longer rely on an audit report;</w:t>
      </w:r>
    </w:p>
    <w:p>
      <w:pPr>
        <w:spacing w:after="0" w:line="20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95"/>
        </w:numPr>
        <w:rPr>
          <w:rFonts w:ascii="Times New Roman" w:cs="Times New Roman" w:eastAsia="Times New Roman" w:hAnsi="Times New Roman"/>
          <w:sz w:val="20"/>
          <w:szCs w:val="20"/>
          <w:color w:val="auto"/>
        </w:rPr>
      </w:pPr>
      <w:r>
        <w:rPr>
          <w:rFonts w:ascii="Calibri" w:cs="Calibri" w:eastAsia="Calibri" w:hAnsi="Calibri"/>
          <w:sz w:val="20"/>
          <w:szCs w:val="20"/>
          <w:color w:val="auto"/>
        </w:rPr>
        <w:t>Business plans or budgets;</w:t>
      </w:r>
    </w:p>
    <w:p>
      <w:pPr>
        <w:spacing w:after="0" w:line="187"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95"/>
        </w:numPr>
        <w:rPr>
          <w:rFonts w:ascii="Times New Roman" w:cs="Times New Roman" w:eastAsia="Times New Roman" w:hAnsi="Times New Roman"/>
          <w:sz w:val="20"/>
          <w:szCs w:val="20"/>
          <w:color w:val="auto"/>
        </w:rPr>
      </w:pPr>
      <w:r>
        <w:rPr>
          <w:rFonts w:ascii="Calibri" w:cs="Calibri" w:eastAsia="Calibri" w:hAnsi="Calibri"/>
          <w:sz w:val="20"/>
          <w:szCs w:val="20"/>
          <w:color w:val="auto"/>
        </w:rPr>
        <w:t>Creaton of signifcant fnancial obligatons, or any signifcant default under or acceleraton of any fnancial obligaton;</w:t>
      </w:r>
    </w:p>
    <w:p>
      <w:pPr>
        <w:spacing w:after="0" w:line="20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95"/>
        </w:numPr>
        <w:rPr>
          <w:rFonts w:ascii="Times New Roman" w:cs="Times New Roman" w:eastAsia="Times New Roman" w:hAnsi="Times New Roman"/>
          <w:sz w:val="20"/>
          <w:szCs w:val="20"/>
          <w:color w:val="auto"/>
        </w:rPr>
      </w:pPr>
      <w:r>
        <w:rPr>
          <w:rFonts w:ascii="Calibri" w:cs="Calibri" w:eastAsia="Calibri" w:hAnsi="Calibri"/>
          <w:sz w:val="20"/>
          <w:szCs w:val="20"/>
          <w:color w:val="auto"/>
        </w:rPr>
        <w:t>Impending bankruptcy or fnancial liquidity problems;</w:t>
      </w:r>
    </w:p>
    <w:p>
      <w:pPr>
        <w:spacing w:after="0" w:line="197" w:lineRule="exact"/>
        <w:rPr>
          <w:rFonts w:ascii="Times New Roman" w:cs="Times New Roman" w:eastAsia="Times New Roman" w:hAnsi="Times New Roman"/>
          <w:sz w:val="20"/>
          <w:szCs w:val="20"/>
          <w:color w:val="auto"/>
        </w:rPr>
      </w:pPr>
    </w:p>
    <w:p>
      <w:pPr>
        <w:ind w:left="980" w:right="20" w:hanging="324"/>
        <w:spacing w:after="0" w:line="214" w:lineRule="auto"/>
        <w:tabs>
          <w:tab w:leader="none" w:pos="968" w:val="left"/>
        </w:tabs>
        <w:numPr>
          <w:ilvl w:val="0"/>
          <w:numId w:val="95"/>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developments involving business relatonships, including executon, modifcaton or terminaton of signifcant agreements or orders with customers, suppliers, distributors, manufacturers or other business partners;</w:t>
      </w:r>
    </w:p>
    <w:p>
      <w:pPr>
        <w:spacing w:after="0" w:line="212" w:lineRule="exact"/>
        <w:rPr>
          <w:rFonts w:ascii="Times New Roman" w:cs="Times New Roman" w:eastAsia="Times New Roman" w:hAnsi="Times New Roman"/>
          <w:sz w:val="20"/>
          <w:szCs w:val="20"/>
          <w:color w:val="auto"/>
        </w:rPr>
      </w:pPr>
    </w:p>
    <w:p>
      <w:pPr>
        <w:ind w:left="980" w:right="20" w:hanging="324"/>
        <w:spacing w:after="0" w:line="208" w:lineRule="auto"/>
        <w:tabs>
          <w:tab w:leader="none" w:pos="968" w:val="left"/>
        </w:tabs>
        <w:numPr>
          <w:ilvl w:val="0"/>
          <w:numId w:val="95"/>
        </w:numPr>
        <w:rPr>
          <w:rFonts w:ascii="Times New Roman" w:cs="Times New Roman" w:eastAsia="Times New Roman" w:hAnsi="Times New Roman"/>
          <w:sz w:val="20"/>
          <w:szCs w:val="20"/>
          <w:color w:val="auto"/>
        </w:rPr>
      </w:pPr>
      <w:r>
        <w:rPr>
          <w:rFonts w:ascii="Calibri" w:cs="Calibri" w:eastAsia="Calibri" w:hAnsi="Calibri"/>
          <w:sz w:val="20"/>
          <w:szCs w:val="20"/>
          <w:color w:val="auto"/>
        </w:rPr>
        <w:t>Product introductons, modifcatons, defects or recalls or signifcant pricing changes or other product announcements of a signifcant nature;</w:t>
      </w:r>
    </w:p>
    <w:p>
      <w:pPr>
        <w:spacing w:after="0" w:line="20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95"/>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developments in research and development or relatng to intellectual property;</w:t>
      </w:r>
    </w:p>
    <w:p>
      <w:pPr>
        <w:spacing w:after="0" w:line="20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95"/>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legal or regulatory developments, whether actual or threatened;</w:t>
      </w:r>
    </w:p>
    <w:p>
      <w:pPr>
        <w:spacing w:after="0" w:line="197" w:lineRule="exact"/>
        <w:rPr>
          <w:rFonts w:ascii="Times New Roman" w:cs="Times New Roman" w:eastAsia="Times New Roman" w:hAnsi="Times New Roman"/>
          <w:sz w:val="20"/>
          <w:szCs w:val="20"/>
          <w:color w:val="auto"/>
        </w:rPr>
      </w:pPr>
    </w:p>
    <w:p>
      <w:pPr>
        <w:jc w:val="both"/>
        <w:ind w:left="980" w:hanging="324"/>
        <w:spacing w:after="0" w:line="209" w:lineRule="auto"/>
        <w:tabs>
          <w:tab w:leader="none" w:pos="968" w:val="left"/>
        </w:tabs>
        <w:numPr>
          <w:ilvl w:val="0"/>
          <w:numId w:val="95"/>
        </w:numPr>
        <w:rPr>
          <w:rFonts w:ascii="Times New Roman" w:cs="Times New Roman" w:eastAsia="Times New Roman" w:hAnsi="Times New Roman"/>
          <w:sz w:val="20"/>
          <w:szCs w:val="20"/>
          <w:color w:val="auto"/>
        </w:rPr>
      </w:pPr>
      <w:r>
        <w:rPr>
          <w:rFonts w:ascii="Calibri" w:cs="Calibri" w:eastAsia="Calibri" w:hAnsi="Calibri"/>
          <w:sz w:val="20"/>
          <w:szCs w:val="20"/>
          <w:color w:val="auto"/>
        </w:rPr>
        <w:t>Major events involving the Company’s securites, including calls of securites for redempton, adopton of stock repurchase programs, opton repricings, stock splits, changes in dividend policies, public or private securites oferings, modifcaton to the rights of security holders or notce of delistng;</w:t>
      </w:r>
    </w:p>
    <w:p>
      <w:pPr>
        <w:spacing w:after="0" w:line="202"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95"/>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cybersecurity incidents or data breaches;</w:t>
      </w:r>
    </w:p>
    <w:p>
      <w:pPr>
        <w:spacing w:after="0" w:line="224" w:lineRule="exact"/>
        <w:rPr>
          <w:rFonts w:ascii="Times New Roman" w:cs="Times New Roman" w:eastAsia="Times New Roman" w:hAnsi="Times New Roman"/>
          <w:sz w:val="20"/>
          <w:szCs w:val="20"/>
          <w:color w:val="auto"/>
        </w:rPr>
      </w:pPr>
    </w:p>
    <w:p>
      <w:pPr>
        <w:ind w:left="980" w:hanging="324"/>
        <w:spacing w:after="0" w:line="214" w:lineRule="auto"/>
        <w:tabs>
          <w:tab w:leader="none" w:pos="968" w:val="left"/>
        </w:tabs>
        <w:numPr>
          <w:ilvl w:val="0"/>
          <w:numId w:val="95"/>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corporate events, such as a pending or proposed merger, joint venture or tender ofer, a signifcant investment, the acquisiton or dispositon of a signifcant business or asset or a change in control of the company; and</w:t>
      </w:r>
    </w:p>
    <w:p>
      <w:pPr>
        <w:spacing w:after="0" w:line="18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95"/>
        </w:numPr>
        <w:rPr>
          <w:rFonts w:ascii="Times New Roman" w:cs="Times New Roman" w:eastAsia="Times New Roman" w:hAnsi="Times New Roman"/>
          <w:sz w:val="20"/>
          <w:szCs w:val="20"/>
          <w:color w:val="auto"/>
        </w:rPr>
      </w:pPr>
      <w:r>
        <w:rPr>
          <w:rFonts w:ascii="Calibri" w:cs="Calibri" w:eastAsia="Calibri" w:hAnsi="Calibri"/>
          <w:sz w:val="20"/>
          <w:szCs w:val="20"/>
          <w:color w:val="auto"/>
        </w:rPr>
        <w:t>Major personnel changes, such as changes in senior management or lay-ofs.</w:t>
      </w:r>
    </w:p>
    <w:p>
      <w:pPr>
        <w:spacing w:after="0" w:line="211" w:lineRule="exact"/>
        <w:rPr>
          <w:sz w:val="20"/>
          <w:szCs w:val="20"/>
          <w:color w:val="auto"/>
        </w:rPr>
      </w:pPr>
    </w:p>
    <w:p>
      <w:pPr>
        <w:jc w:val="both"/>
        <w:ind w:firstLine="324"/>
        <w:spacing w:after="0" w:line="231" w:lineRule="auto"/>
        <w:rPr>
          <w:sz w:val="20"/>
          <w:szCs w:val="20"/>
          <w:color w:val="auto"/>
        </w:rPr>
      </w:pPr>
      <w:r>
        <w:rPr>
          <w:rFonts w:ascii="Calibri" w:cs="Calibri" w:eastAsia="Calibri" w:hAnsi="Calibri"/>
          <w:sz w:val="20"/>
          <w:szCs w:val="20"/>
          <w:color w:val="auto"/>
        </w:rPr>
        <w:t>If you have any questons as to whether informaton should be considered “material”, you should consult with the Compliance Ofcer. In general, it is advisable to resolve any close questons as to the materiality of any informaton by assuming that the informaton is material.</w:t>
      </w:r>
    </w:p>
    <w:p>
      <w:pPr>
        <w:sectPr>
          <w:pgSz w:w="11900" w:h="16838" w:orient="portrait"/>
          <w:cols w:equalWidth="0" w:num="1">
            <w:col w:w="11240"/>
          </w:cols>
          <w:pgMar w:left="320" w:top="13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Calibri" w:cs="Calibri" w:eastAsia="Calibri" w:hAnsi="Calibri"/>
          <w:sz w:val="19"/>
          <w:szCs w:val="19"/>
          <w:color w:val="auto"/>
        </w:rPr>
        <w:t>4</w:t>
      </w:r>
    </w:p>
    <w:p>
      <w:pPr>
        <w:sectPr>
          <w:pgSz w:w="11900" w:h="16838" w:orient="portrait"/>
          <w:cols w:equalWidth="0" w:num="1">
            <w:col w:w="11240"/>
          </w:cols>
          <w:pgMar w:left="320" w:top="1374" w:right="339"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20"/>
          <w:szCs w:val="20"/>
          <w:b w:val="1"/>
          <w:bCs w:val="1"/>
          <w:color w:val="auto"/>
        </w:rPr>
        <w:t>“Nonpublic” informaton</w:t>
      </w:r>
    </w:p>
    <w:p>
      <w:pPr>
        <w:spacing w:after="0" w:line="211" w:lineRule="exact"/>
        <w:rPr>
          <w:sz w:val="20"/>
          <w:szCs w:val="20"/>
          <w:color w:val="auto"/>
        </w:rPr>
      </w:pPr>
    </w:p>
    <w:p>
      <w:pPr>
        <w:jc w:val="both"/>
        <w:ind w:firstLine="324"/>
        <w:spacing w:after="0" w:line="233" w:lineRule="auto"/>
        <w:rPr>
          <w:sz w:val="20"/>
          <w:szCs w:val="20"/>
          <w:color w:val="auto"/>
        </w:rPr>
      </w:pPr>
      <w:r>
        <w:rPr>
          <w:rFonts w:ascii="Calibri" w:cs="Calibri" w:eastAsia="Calibri" w:hAnsi="Calibri"/>
          <w:sz w:val="20"/>
          <w:szCs w:val="20"/>
          <w:color w:val="auto"/>
        </w:rPr>
        <w:t xml:space="preserve">Informaton is considered nonpublic if the informaton has not been broadly disseminated to the public for a sufcient period to be refected in the price of the security. As a general rule, informaton should be considered nonpublic untl at least </w:t>
      </w:r>
      <w:r>
        <w:rPr>
          <w:rFonts w:ascii="Calibri" w:cs="Calibri" w:eastAsia="Calibri" w:hAnsi="Calibri"/>
          <w:sz w:val="20"/>
          <w:szCs w:val="20"/>
          <w:b w:val="1"/>
          <w:bCs w:val="1"/>
          <w:i w:val="1"/>
          <w:iCs w:val="1"/>
          <w:color w:val="auto"/>
        </w:rPr>
        <w:t>two full trading days</w:t>
      </w:r>
      <w:r>
        <w:rPr>
          <w:rFonts w:ascii="Calibri" w:cs="Calibri" w:eastAsia="Calibri" w:hAnsi="Calibri"/>
          <w:sz w:val="20"/>
          <w:szCs w:val="20"/>
          <w:color w:val="auto"/>
        </w:rPr>
        <w:t xml:space="preserve"> have elapsed afer the informaton is broadly distributed to the public in a press release, a public fling with the SEC, a pre-announced public webcast or another broad, non-exclusionary form of public communicaton, such as a natonal newspaper. However, depending upon the form of the announcement and the nature of the informaton, it is possible that informaton may not be fully absorbed by the marketplace untl a later tme. Any questons as to whether informaton is nonpublic should be directed to the Compliance Ofcer.</w:t>
      </w:r>
    </w:p>
    <w:p>
      <w:pPr>
        <w:spacing w:after="0" w:line="211" w:lineRule="exact"/>
        <w:rPr>
          <w:sz w:val="20"/>
          <w:szCs w:val="20"/>
          <w:color w:val="auto"/>
        </w:rPr>
      </w:pPr>
    </w:p>
    <w:p>
      <w:pPr>
        <w:jc w:val="both"/>
        <w:ind w:right="20" w:firstLine="324"/>
        <w:spacing w:after="0" w:line="231" w:lineRule="auto"/>
        <w:rPr>
          <w:sz w:val="20"/>
          <w:szCs w:val="20"/>
          <w:color w:val="auto"/>
        </w:rPr>
      </w:pPr>
      <w:r>
        <w:rPr>
          <w:rFonts w:ascii="Calibri" w:cs="Calibri" w:eastAsia="Calibri" w:hAnsi="Calibri"/>
          <w:sz w:val="20"/>
          <w:szCs w:val="20"/>
          <w:color w:val="auto"/>
        </w:rPr>
        <w:t>The term “</w:t>
      </w:r>
      <w:r>
        <w:rPr>
          <w:rFonts w:ascii="Calibri" w:cs="Calibri" w:eastAsia="Calibri" w:hAnsi="Calibri"/>
          <w:sz w:val="20"/>
          <w:szCs w:val="20"/>
          <w:b w:val="1"/>
          <w:bCs w:val="1"/>
          <w:i w:val="1"/>
          <w:iCs w:val="1"/>
          <w:color w:val="auto"/>
        </w:rPr>
        <w:t>trading day</w:t>
      </w:r>
      <w:r>
        <w:rPr>
          <w:rFonts w:ascii="Calibri" w:cs="Calibri" w:eastAsia="Calibri" w:hAnsi="Calibri"/>
          <w:sz w:val="20"/>
          <w:szCs w:val="20"/>
          <w:color w:val="auto"/>
        </w:rPr>
        <w:t>” means a day on which natonal stock exchanges and the Natonal Associaton of Securites Dealers, Inc. Automated Quotaton System are open for trading. A “</w:t>
      </w:r>
      <w:r>
        <w:rPr>
          <w:rFonts w:ascii="Calibri" w:cs="Calibri" w:eastAsia="Calibri" w:hAnsi="Calibri"/>
          <w:sz w:val="20"/>
          <w:szCs w:val="20"/>
          <w:b w:val="1"/>
          <w:bCs w:val="1"/>
          <w:i w:val="1"/>
          <w:iCs w:val="1"/>
          <w:color w:val="auto"/>
        </w:rPr>
        <w:t>full</w:t>
      </w:r>
      <w:r>
        <w:rPr>
          <w:rFonts w:ascii="Calibri" w:cs="Calibri" w:eastAsia="Calibri" w:hAnsi="Calibri"/>
          <w:sz w:val="20"/>
          <w:szCs w:val="20"/>
          <w:color w:val="auto"/>
        </w:rPr>
        <w:t>” trading day has elapsed when, afer the public disclosure, trading in the relevant security has opened and then 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240"/>
          </w:cols>
          <w:pgMar w:left="320" w:top="1374" w:right="339" w:bottom="1440" w:gutter="0" w:footer="0" w:header="0"/>
        </w:sectPr>
      </w:pPr>
    </w:p>
    <w:bookmarkStart w:id="132" w:name="page133"/>
    <w:bookmarkEnd w:id="132"/>
    <w:p>
      <w:pPr>
        <w:ind w:left="3100"/>
        <w:spacing w:after="0"/>
        <w:rPr>
          <w:sz w:val="20"/>
          <w:szCs w:val="20"/>
          <w:color w:val="auto"/>
        </w:rPr>
      </w:pPr>
      <w:r>
        <w:rPr>
          <w:rFonts w:ascii="Calibri" w:cs="Calibri" w:eastAsia="Calibri" w:hAnsi="Calibri"/>
          <w:sz w:val="20"/>
          <w:szCs w:val="20"/>
          <w:b w:val="1"/>
          <w:bCs w:val="1"/>
          <w:color w:val="auto"/>
        </w:rPr>
        <w:t>POLICIES REGARDING MATERIAL NONPUBLIC INFORMATION</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Confdentality of nonpublic informaton</w:t>
      </w:r>
    </w:p>
    <w:p>
      <w:pPr>
        <w:spacing w:after="0" w:line="198" w:lineRule="exact"/>
        <w:rPr>
          <w:sz w:val="20"/>
          <w:szCs w:val="20"/>
          <w:color w:val="auto"/>
        </w:rPr>
      </w:pPr>
    </w:p>
    <w:p>
      <w:pPr>
        <w:jc w:val="both"/>
        <w:ind w:firstLine="324"/>
        <w:spacing w:after="0" w:line="234" w:lineRule="auto"/>
        <w:rPr>
          <w:sz w:val="20"/>
          <w:szCs w:val="20"/>
          <w:color w:val="auto"/>
        </w:rPr>
      </w:pPr>
      <w:r>
        <w:rPr>
          <w:rFonts w:ascii="Calibri" w:cs="Calibri" w:eastAsia="Calibri" w:hAnsi="Calibri"/>
          <w:sz w:val="20"/>
          <w:szCs w:val="20"/>
          <w:color w:val="auto"/>
        </w:rPr>
        <w:t>The unauthorized use or disclosure of nonpublic informaton relatng to the Company or other companies is prohibited. All nonpublic informaton you acquire in the course of your service with the Company may only be used for legitmate Company business purposes. In additon, nonpublic informaton of others should be handled in accordance with the terms of any relevant nondisclosure agreements, and the use of any such nonpublic informaton should be limited to the purpose for which it was disclosed. All ofcers, employees and agents of the Company are required to sign and comply with confdentality and nondisclosure agreements with the Company.</w:t>
      </w:r>
    </w:p>
    <w:p>
      <w:pPr>
        <w:spacing w:after="0" w:line="214" w:lineRule="exact"/>
        <w:rPr>
          <w:sz w:val="20"/>
          <w:szCs w:val="20"/>
          <w:color w:val="auto"/>
        </w:rPr>
      </w:pPr>
    </w:p>
    <w:p>
      <w:pPr>
        <w:jc w:val="both"/>
        <w:ind w:firstLine="324"/>
        <w:spacing w:after="0" w:line="233" w:lineRule="auto"/>
        <w:rPr>
          <w:sz w:val="20"/>
          <w:szCs w:val="20"/>
          <w:color w:val="auto"/>
        </w:rPr>
      </w:pPr>
      <w:r>
        <w:rPr>
          <w:rFonts w:ascii="Calibri" w:cs="Calibri" w:eastAsia="Calibri" w:hAnsi="Calibri"/>
          <w:sz w:val="20"/>
          <w:szCs w:val="20"/>
          <w:color w:val="auto"/>
        </w:rPr>
        <w:t>You must use all reasonable eforts to safeguard nonpublic informaton in the Company’s possession. Except as described below, you may not disclose nonpublic informaton about the Company or any other company, unless required by law, or unless (i) disclosure is required for legitmate Company business purposes, (ii) you are authorized to disclose the informaton and (iii) appropriate steps have been taken to prevent misuse of that informaton (including entering an appropriate nondisclosure agreement that restricts the disclosure and use of the informaton, if applicable). This restricton also applies to internal communicatons within the Company and to communicatons with agents of the Company. In cases where disclosing nonpublic informaton to third partes is required, you should coordinate with the Legal Department.</w:t>
      </w:r>
    </w:p>
    <w:p>
      <w:pPr>
        <w:spacing w:after="0" w:line="217" w:lineRule="exact"/>
        <w:rPr>
          <w:sz w:val="20"/>
          <w:szCs w:val="20"/>
          <w:color w:val="auto"/>
        </w:rPr>
      </w:pPr>
    </w:p>
    <w:p>
      <w:pPr>
        <w:jc w:val="both"/>
        <w:ind w:firstLine="324"/>
        <w:spacing w:after="0" w:line="233" w:lineRule="auto"/>
        <w:rPr>
          <w:sz w:val="20"/>
          <w:szCs w:val="20"/>
          <w:color w:val="auto"/>
        </w:rPr>
      </w:pPr>
      <w:r>
        <w:rPr>
          <w:rFonts w:ascii="Calibri" w:cs="Calibri" w:eastAsia="Calibri" w:hAnsi="Calibri"/>
          <w:sz w:val="20"/>
          <w:szCs w:val="20"/>
          <w:color w:val="auto"/>
        </w:rPr>
        <w:t>Notwithstanding any other provision of this Policy, you will not be held liable under this Policy or any federal or state trade secret law for making any confdental disclosure of a trade secret or other nonpublic informaton to a government ofcial or an atorney (or via internal reportng procedures) for purposes of reportng or investgatng a suspected violaton of law or regulaton, or in a court fling under seal, and you do not need to obtain authorizaton from the Company for such a disclosure.</w:t>
      </w:r>
    </w:p>
    <w:p>
      <w:pPr>
        <w:spacing w:after="0" w:line="19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 trading on material nonpublic informaton</w:t>
      </w:r>
    </w:p>
    <w:p>
      <w:pPr>
        <w:spacing w:after="0" w:line="198" w:lineRule="exact"/>
        <w:rPr>
          <w:sz w:val="20"/>
          <w:szCs w:val="20"/>
          <w:color w:val="auto"/>
        </w:rPr>
      </w:pPr>
    </w:p>
    <w:p>
      <w:pPr>
        <w:jc w:val="both"/>
        <w:ind w:firstLine="324"/>
        <w:spacing w:after="0" w:line="236" w:lineRule="auto"/>
        <w:rPr>
          <w:sz w:val="20"/>
          <w:szCs w:val="20"/>
          <w:color w:val="auto"/>
        </w:rPr>
      </w:pPr>
      <w:r>
        <w:rPr>
          <w:rFonts w:ascii="Calibri" w:cs="Calibri" w:eastAsia="Calibri" w:hAnsi="Calibri"/>
          <w:sz w:val="20"/>
          <w:szCs w:val="20"/>
          <w:color w:val="auto"/>
        </w:rPr>
        <w:t>Except as discussed in the secton enttled “</w:t>
      </w:r>
      <w:r>
        <w:rPr>
          <w:rFonts w:ascii="Calibri" w:cs="Calibri" w:eastAsia="Calibri" w:hAnsi="Calibri"/>
          <w:sz w:val="20"/>
          <w:szCs w:val="20"/>
          <w:b w:val="1"/>
          <w:bCs w:val="1"/>
          <w:color w:val="auto"/>
        </w:rPr>
        <w:t>Limited Exceptons</w:t>
      </w:r>
      <w:r>
        <w:rPr>
          <w:rFonts w:ascii="Calibri" w:cs="Calibri" w:eastAsia="Calibri" w:hAnsi="Calibri"/>
          <w:sz w:val="20"/>
          <w:szCs w:val="20"/>
          <w:color w:val="auto"/>
        </w:rPr>
        <w:t xml:space="preserve">”, you may not, directly or indirectly through others, engage in any transacton involving the Company’s securites </w:t>
      </w:r>
      <w:r>
        <w:rPr>
          <w:rFonts w:ascii="Calibri" w:cs="Calibri" w:eastAsia="Calibri" w:hAnsi="Calibri"/>
          <w:sz w:val="20"/>
          <w:szCs w:val="20"/>
          <w:i w:val="1"/>
          <w:iCs w:val="1"/>
          <w:color w:val="auto"/>
        </w:rPr>
        <w:t>while aware of</w:t>
      </w:r>
      <w:r>
        <w:rPr>
          <w:rFonts w:ascii="Calibri" w:cs="Calibri" w:eastAsia="Calibri" w:hAnsi="Calibri"/>
          <w:sz w:val="20"/>
          <w:szCs w:val="20"/>
          <w:color w:val="auto"/>
        </w:rPr>
        <w:t xml:space="preserve"> material nonpublic informaton relatng to the Company. It is not an excuse that you did not “use” the informaton in your transacton.</w:t>
      </w:r>
    </w:p>
    <w:p>
      <w:pPr>
        <w:spacing w:after="0" w:line="211" w:lineRule="exact"/>
        <w:rPr>
          <w:sz w:val="20"/>
          <w:szCs w:val="20"/>
          <w:color w:val="auto"/>
        </w:rPr>
      </w:pPr>
    </w:p>
    <w:p>
      <w:pPr>
        <w:jc w:val="both"/>
        <w:ind w:firstLine="324"/>
        <w:spacing w:after="0" w:line="233" w:lineRule="auto"/>
        <w:rPr>
          <w:sz w:val="20"/>
          <w:szCs w:val="20"/>
          <w:color w:val="auto"/>
        </w:rPr>
      </w:pPr>
      <w:r>
        <w:rPr>
          <w:rFonts w:ascii="Calibri" w:cs="Calibri" w:eastAsia="Calibri" w:hAnsi="Calibri"/>
          <w:sz w:val="20"/>
          <w:szCs w:val="20"/>
          <w:color w:val="auto"/>
        </w:rPr>
        <w:t>Similarly, you may not engage in transactons involving the securites of any other company if you are aware of material nonpublic informaton about that company (except to the extent the transactons are analogous to those presented in the secton enttled “</w:t>
      </w:r>
      <w:r>
        <w:rPr>
          <w:rFonts w:ascii="Calibri" w:cs="Calibri" w:eastAsia="Calibri" w:hAnsi="Calibri"/>
          <w:sz w:val="20"/>
          <w:szCs w:val="20"/>
          <w:b w:val="1"/>
          <w:bCs w:val="1"/>
          <w:color w:val="auto"/>
        </w:rPr>
        <w:t>Limited</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Exceptons</w:t>
      </w:r>
      <w:r>
        <w:rPr>
          <w:rFonts w:ascii="Calibri" w:cs="Calibri" w:eastAsia="Calibri" w:hAnsi="Calibri"/>
          <w:sz w:val="20"/>
          <w:szCs w:val="20"/>
          <w:color w:val="auto"/>
        </w:rPr>
        <w:t>”). For example, you may be involved in a proposed transacton involving a prospectve business relatonship or transacton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with another company. If informaton about that transacton consttutes material nonpublic informaton for that other company, you would be prohibited from engaging in transactons involving the securites of that other company (as well as transactons involving Company securites, if that informaton is material to the Company). It is important to note that “materiality” is diferent for diferent companies. Informaton that is not material to the Company may be material to another company.</w:t>
      </w:r>
    </w:p>
    <w:p>
      <w:pPr>
        <w:spacing w:after="0" w:line="18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 disclosing material nonpublic informaton for the beneft of others</w:t>
      </w:r>
    </w:p>
    <w:p>
      <w:pPr>
        <w:spacing w:after="0" w:line="211" w:lineRule="exact"/>
        <w:rPr>
          <w:sz w:val="20"/>
          <w:szCs w:val="20"/>
          <w:color w:val="auto"/>
        </w:rPr>
      </w:pPr>
    </w:p>
    <w:p>
      <w:pPr>
        <w:jc w:val="both"/>
        <w:ind w:firstLine="324"/>
        <w:spacing w:after="0" w:line="231" w:lineRule="auto"/>
        <w:rPr>
          <w:sz w:val="20"/>
          <w:szCs w:val="20"/>
          <w:color w:val="auto"/>
        </w:rPr>
      </w:pPr>
      <w:r>
        <w:rPr>
          <w:rFonts w:ascii="Calibri" w:cs="Calibri" w:eastAsia="Calibri" w:hAnsi="Calibri"/>
          <w:sz w:val="20"/>
          <w:szCs w:val="20"/>
          <w:color w:val="auto"/>
        </w:rPr>
        <w:t>You may not disclose material nonpublic informaton concerning the Company or any other company to friends, family members or any other person or entty not authorized to receive such informaton where such person or entty may beneft by trading on the basis of such informaton.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6</w:t>
      </w:r>
    </w:p>
    <w:p>
      <w:pPr>
        <w:sectPr>
          <w:pgSz w:w="11900" w:h="16838" w:orient="portrait"/>
          <w:cols w:equalWidth="0" w:num="1">
            <w:col w:w="11240"/>
          </w:cols>
          <w:pgMar w:left="320" w:top="1374" w:right="339" w:bottom="1440" w:gutter="0" w:footer="0" w:header="0"/>
        </w:sectPr>
      </w:pPr>
    </w:p>
    <w:bookmarkStart w:id="133" w:name="page134"/>
    <w:bookmarkEnd w:id="133"/>
    <w:p>
      <w:pPr>
        <w:jc w:val="both"/>
        <w:spacing w:after="0" w:line="231" w:lineRule="auto"/>
        <w:rPr>
          <w:sz w:val="20"/>
          <w:szCs w:val="20"/>
          <w:color w:val="auto"/>
        </w:rPr>
      </w:pPr>
      <w:r>
        <w:rPr>
          <w:rFonts w:ascii="Calibri" w:cs="Calibri" w:eastAsia="Calibri" w:hAnsi="Calibri"/>
          <w:sz w:val="20"/>
          <w:szCs w:val="20"/>
          <w:color w:val="auto"/>
        </w:rPr>
        <w:t>additon, you may not make recommendatons or express opinions on the basis of material nonpublic informaton as to trading in the securites of companies to which such informaton relates. You are prohibited from engaging in these actons whether or not you derive any proft or personal beneft from doing so.</w:t>
      </w:r>
    </w:p>
    <w:p>
      <w:pPr>
        <w:spacing w:after="0" w:line="19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Obligaton to disclose material nonpublic informaton to the Company</w:t>
      </w:r>
    </w:p>
    <w:p>
      <w:pPr>
        <w:spacing w:after="0" w:line="198" w:lineRule="exact"/>
        <w:rPr>
          <w:sz w:val="20"/>
          <w:szCs w:val="20"/>
          <w:color w:val="auto"/>
        </w:rPr>
      </w:pPr>
    </w:p>
    <w:p>
      <w:pPr>
        <w:jc w:val="both"/>
        <w:ind w:firstLine="324"/>
        <w:spacing w:after="0" w:line="234" w:lineRule="auto"/>
        <w:rPr>
          <w:sz w:val="20"/>
          <w:szCs w:val="20"/>
          <w:color w:val="auto"/>
        </w:rPr>
      </w:pPr>
      <w:r>
        <w:rPr>
          <w:rFonts w:ascii="Calibri" w:cs="Calibri" w:eastAsia="Calibri" w:hAnsi="Calibri"/>
          <w:sz w:val="20"/>
          <w:szCs w:val="20"/>
          <w:color w:val="auto"/>
        </w:rPr>
        <w:t>You may not enter into any transacton, including those discussed in the secton enttled “</w:t>
      </w:r>
      <w:r>
        <w:rPr>
          <w:rFonts w:ascii="Calibri" w:cs="Calibri" w:eastAsia="Calibri" w:hAnsi="Calibri"/>
          <w:sz w:val="20"/>
          <w:szCs w:val="20"/>
          <w:b w:val="1"/>
          <w:bCs w:val="1"/>
          <w:color w:val="auto"/>
        </w:rPr>
        <w:t>Limited Exceptons</w:t>
      </w:r>
      <w:r>
        <w:rPr>
          <w:rFonts w:ascii="Calibri" w:cs="Calibri" w:eastAsia="Calibri" w:hAnsi="Calibri"/>
          <w:sz w:val="20"/>
          <w:szCs w:val="20"/>
          <w:color w:val="auto"/>
        </w:rPr>
        <w:t>”, unless you have disclosed any material nonpublic informaton that you became aware of in the course of your service with the Company, and that senior management is not aware of, to the Compliance Ofcer. If you are a member of senior management, the informaton must be disclosed to the Chief Executve Ofcer, and if you are the Chief Executve Ofcer or a director, you must disclose the informaton to the board of directors, before any transacton is permissible.</w:t>
      </w:r>
    </w:p>
    <w:p>
      <w:pPr>
        <w:spacing w:after="0" w:line="17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Responding to outside inquiries for informaton</w:t>
      </w:r>
    </w:p>
    <w:p>
      <w:pPr>
        <w:spacing w:after="0" w:line="211" w:lineRule="exact"/>
        <w:rPr>
          <w:sz w:val="20"/>
          <w:szCs w:val="20"/>
          <w:color w:val="auto"/>
        </w:rPr>
      </w:pPr>
    </w:p>
    <w:p>
      <w:pPr>
        <w:jc w:val="both"/>
        <w:ind w:firstLine="324"/>
        <w:spacing w:after="0" w:line="233" w:lineRule="auto"/>
        <w:rPr>
          <w:sz w:val="20"/>
          <w:szCs w:val="20"/>
          <w:color w:val="auto"/>
        </w:rPr>
      </w:pPr>
      <w:r>
        <w:rPr>
          <w:rFonts w:ascii="Calibri" w:cs="Calibri" w:eastAsia="Calibri" w:hAnsi="Calibri"/>
          <w:sz w:val="20"/>
          <w:szCs w:val="20"/>
          <w:color w:val="auto"/>
        </w:rPr>
        <w:t>In the event you receive an inquiry from someone outside of the Company, such as a stock analyst, for informaton, you should refer the inquiry to the Chief Financial Ofcer. The Company is required under Regulaton FD (Fair Disclosure) of the U.S. federal securites laws to avoid the selectve disclosure of material nonpublic informaton. In general, the regulaton provides that when a public company discloses material nonpublic informaton, it must provide broad, non-exclusionary access to the informaton. Violatons of this regulaton can subject the Company to SEC enforcement actons, which may result in injunctons and severe monetary penaltes. The Company has established procedures for releasing material informaton in a manner that is designed to achieve broad public disseminaton of the informaton immediately upon its release in compliance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7</w:t>
      </w:r>
    </w:p>
    <w:p>
      <w:pPr>
        <w:sectPr>
          <w:pgSz w:w="11900" w:h="16838" w:orient="portrait"/>
          <w:cols w:equalWidth="0" w:num="1">
            <w:col w:w="11240"/>
          </w:cols>
          <w:pgMar w:left="320" w:top="1411" w:right="339" w:bottom="1440" w:gutter="0" w:footer="0" w:header="0"/>
        </w:sectPr>
      </w:pPr>
    </w:p>
    <w:bookmarkStart w:id="134" w:name="page135"/>
    <w:bookmarkEnd w:id="134"/>
    <w:p>
      <w:pPr>
        <w:jc w:val="center"/>
        <w:spacing w:after="0"/>
        <w:rPr>
          <w:sz w:val="20"/>
          <w:szCs w:val="20"/>
          <w:color w:val="auto"/>
        </w:rPr>
      </w:pPr>
      <w:r>
        <w:rPr>
          <w:rFonts w:ascii="Calibri" w:cs="Calibri" w:eastAsia="Calibri" w:hAnsi="Calibri"/>
          <w:sz w:val="20"/>
          <w:szCs w:val="20"/>
          <w:b w:val="1"/>
          <w:bCs w:val="1"/>
          <w:color w:val="auto"/>
        </w:rPr>
        <w:t>TRADING BLACKOUT PERIODS</w:t>
      </w:r>
    </w:p>
    <w:p>
      <w:pPr>
        <w:spacing w:after="0" w:line="211" w:lineRule="exact"/>
        <w:rPr>
          <w:sz w:val="20"/>
          <w:szCs w:val="20"/>
          <w:color w:val="auto"/>
        </w:rPr>
      </w:pPr>
    </w:p>
    <w:p>
      <w:pPr>
        <w:jc w:val="both"/>
        <w:ind w:firstLine="324"/>
        <w:spacing w:after="0" w:line="230" w:lineRule="auto"/>
        <w:rPr>
          <w:sz w:val="20"/>
          <w:szCs w:val="20"/>
          <w:color w:val="auto"/>
        </w:rPr>
      </w:pPr>
      <w:r>
        <w:rPr>
          <w:rFonts w:ascii="Calibri" w:cs="Calibri" w:eastAsia="Calibri" w:hAnsi="Calibri"/>
          <w:sz w:val="20"/>
          <w:szCs w:val="20"/>
          <w:color w:val="auto"/>
        </w:rPr>
        <w:t>To limit the likelihood of trading at tmes when there is a signifcant risk of insider trading exposure, the Company has insttuted quarterly trading blackout periods and may insttute special trading blackout periods from tme to tme. In additon, to comply with applicable legal requirements, the Company may also insttute blackout periods that prevent directors and ofcers from trading in Company securites at a tme when employees are prevented from trading Company securites in the Company’s 401(k) plan.</w:t>
      </w:r>
    </w:p>
    <w:p>
      <w:pPr>
        <w:spacing w:after="0" w:line="225" w:lineRule="exact"/>
        <w:rPr>
          <w:sz w:val="20"/>
          <w:szCs w:val="20"/>
          <w:color w:val="auto"/>
        </w:rPr>
      </w:pPr>
    </w:p>
    <w:p>
      <w:pPr>
        <w:jc w:val="both"/>
        <w:ind w:firstLine="324"/>
        <w:spacing w:after="0" w:line="234" w:lineRule="auto"/>
        <w:rPr>
          <w:sz w:val="20"/>
          <w:szCs w:val="20"/>
          <w:color w:val="auto"/>
        </w:rPr>
      </w:pPr>
      <w:r>
        <w:rPr>
          <w:rFonts w:ascii="Calibri" w:cs="Calibri" w:eastAsia="Calibri" w:hAnsi="Calibri"/>
          <w:sz w:val="20"/>
          <w:szCs w:val="20"/>
          <w:color w:val="auto"/>
        </w:rPr>
        <w:t xml:space="preserve">It is important to note that </w:t>
      </w:r>
      <w:r>
        <w:rPr>
          <w:rFonts w:ascii="Calibri" w:cs="Calibri" w:eastAsia="Calibri" w:hAnsi="Calibri"/>
          <w:sz w:val="20"/>
          <w:szCs w:val="20"/>
          <w:i w:val="1"/>
          <w:iCs w:val="1"/>
          <w:u w:val="single" w:color="auto"/>
          <w:color w:val="auto"/>
        </w:rPr>
        <w:t>whether or not you are subject to blackout periods, you remain subject to the prohibitons on trading on</w:t>
      </w:r>
      <w:r>
        <w:rPr>
          <w:rFonts w:ascii="Calibri" w:cs="Calibri" w:eastAsia="Calibri" w:hAnsi="Calibri"/>
          <w:sz w:val="20"/>
          <w:szCs w:val="20"/>
          <w:color w:val="auto"/>
        </w:rPr>
        <w:t xml:space="preserve"> </w:t>
      </w:r>
      <w:r>
        <w:rPr>
          <w:rFonts w:ascii="Calibri" w:cs="Calibri" w:eastAsia="Calibri" w:hAnsi="Calibri"/>
          <w:sz w:val="20"/>
          <w:szCs w:val="20"/>
          <w:i w:val="1"/>
          <w:iCs w:val="1"/>
          <w:u w:val="single" w:color="auto"/>
          <w:color w:val="auto"/>
        </w:rPr>
        <w:t>the basis of material nonpublic informaton</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and any other applicable restrictons in this Policy.</w:t>
      </w:r>
    </w:p>
    <w:p>
      <w:pPr>
        <w:spacing w:after="0" w:line="17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Quarterly blackout periods</w:t>
      </w:r>
    </w:p>
    <w:p>
      <w:pPr>
        <w:spacing w:after="0" w:line="211" w:lineRule="exact"/>
        <w:rPr>
          <w:sz w:val="20"/>
          <w:szCs w:val="20"/>
          <w:color w:val="auto"/>
        </w:rPr>
      </w:pPr>
    </w:p>
    <w:p>
      <w:pPr>
        <w:jc w:val="both"/>
        <w:ind w:firstLine="324"/>
        <w:spacing w:after="0" w:line="233" w:lineRule="auto"/>
        <w:rPr>
          <w:sz w:val="20"/>
          <w:szCs w:val="20"/>
          <w:color w:val="auto"/>
        </w:rPr>
      </w:pPr>
      <w:r>
        <w:rPr>
          <w:rFonts w:ascii="Calibri" w:cs="Calibri" w:eastAsia="Calibri" w:hAnsi="Calibri"/>
          <w:sz w:val="20"/>
          <w:szCs w:val="20"/>
          <w:color w:val="auto"/>
        </w:rPr>
        <w:t>Except as discussed in the secton enttled “</w:t>
      </w:r>
      <w:r>
        <w:rPr>
          <w:rFonts w:ascii="Calibri" w:cs="Calibri" w:eastAsia="Calibri" w:hAnsi="Calibri"/>
          <w:sz w:val="20"/>
          <w:szCs w:val="20"/>
          <w:b w:val="1"/>
          <w:bCs w:val="1"/>
          <w:color w:val="auto"/>
        </w:rPr>
        <w:t>Limited Exceptons</w:t>
      </w:r>
      <w:r>
        <w:rPr>
          <w:rFonts w:ascii="Calibri" w:cs="Calibri" w:eastAsia="Calibri" w:hAnsi="Calibri"/>
          <w:sz w:val="20"/>
          <w:szCs w:val="20"/>
          <w:color w:val="auto"/>
        </w:rPr>
        <w:t>”, directors, executve ofcers and other employees and agents identfed by the Company must refrain from conductng transactons involving the Company’s securites during quarterly blackout periods. Even if you are not specifcally identfed as being subject to quarterly blackout periods, you should exercise cauton when engaging in transactons during quarterly blackout periods because of the heightened risk of insider trading exposure.</w:t>
      </w:r>
    </w:p>
    <w:p>
      <w:pPr>
        <w:spacing w:after="0" w:line="213" w:lineRule="exact"/>
        <w:rPr>
          <w:sz w:val="20"/>
          <w:szCs w:val="20"/>
          <w:color w:val="auto"/>
        </w:rPr>
      </w:pPr>
    </w:p>
    <w:p>
      <w:pPr>
        <w:jc w:val="both"/>
        <w:ind w:firstLine="324"/>
        <w:spacing w:after="0" w:line="234" w:lineRule="auto"/>
        <w:rPr>
          <w:sz w:val="20"/>
          <w:szCs w:val="20"/>
          <w:color w:val="auto"/>
        </w:rPr>
      </w:pPr>
      <w:r>
        <w:rPr>
          <w:rFonts w:ascii="Calibri" w:cs="Calibri" w:eastAsia="Calibri" w:hAnsi="Calibri"/>
          <w:sz w:val="20"/>
          <w:szCs w:val="20"/>
          <w:color w:val="auto"/>
        </w:rPr>
        <w:t>Quarterly blackout periods begin at the sixteenth calendar day of the third month of each fscal quarter and end at the end of the second full trading day following the date of public disclosure of the fnancial results for that fscal quarter. This period is a partcularly sensitve tme for transactons involving the Company’s securites from the perspectve of compliance with applicable securites laws due to the fact that, during this period, individuals may ofen possess or have access to material nonpublic informaton relevant to the expected fnancial results for the quarter.</w:t>
      </w:r>
    </w:p>
    <w:p>
      <w:pPr>
        <w:spacing w:after="0" w:line="214" w:lineRule="exact"/>
        <w:rPr>
          <w:sz w:val="20"/>
          <w:szCs w:val="20"/>
          <w:color w:val="auto"/>
        </w:rPr>
      </w:pPr>
    </w:p>
    <w:p>
      <w:pPr>
        <w:jc w:val="both"/>
        <w:ind w:firstLine="324"/>
        <w:spacing w:after="0"/>
        <w:rPr>
          <w:sz w:val="20"/>
          <w:szCs w:val="20"/>
          <w:color w:val="auto"/>
        </w:rPr>
      </w:pPr>
      <w:r>
        <w:rPr>
          <w:rFonts w:ascii="Calibri" w:cs="Calibri" w:eastAsia="Calibri" w:hAnsi="Calibri"/>
          <w:sz w:val="20"/>
          <w:szCs w:val="20"/>
          <w:color w:val="auto"/>
        </w:rPr>
        <w:t xml:space="preserve">Individuals subject to quarterly blackout periods are listed on </w:t>
      </w:r>
      <w:r>
        <w:rPr>
          <w:rFonts w:ascii="Calibri" w:cs="Calibri" w:eastAsia="Calibri" w:hAnsi="Calibri"/>
          <w:sz w:val="20"/>
          <w:szCs w:val="20"/>
          <w:b w:val="1"/>
          <w:bCs w:val="1"/>
          <w:color w:val="auto"/>
        </w:rPr>
        <w:t>Schedule I</w:t>
      </w:r>
      <w:r>
        <w:rPr>
          <w:rFonts w:ascii="Calibri" w:cs="Calibri" w:eastAsia="Calibri" w:hAnsi="Calibri"/>
          <w:sz w:val="20"/>
          <w:szCs w:val="20"/>
          <w:color w:val="auto"/>
        </w:rPr>
        <w:t xml:space="preserve">. From tme to tme, the Company may identfy other persons who should be subject to quarterly blackout periods, and the Compliance Ofcer may update and revise </w:t>
      </w:r>
      <w:r>
        <w:rPr>
          <w:rFonts w:ascii="Calibri" w:cs="Calibri" w:eastAsia="Calibri" w:hAnsi="Calibri"/>
          <w:sz w:val="20"/>
          <w:szCs w:val="20"/>
          <w:b w:val="1"/>
          <w:bCs w:val="1"/>
          <w:color w:val="auto"/>
        </w:rPr>
        <w:t>Schedule I</w:t>
      </w:r>
      <w:r>
        <w:rPr>
          <w:rFonts w:ascii="Calibri" w:cs="Calibri" w:eastAsia="Calibri" w:hAnsi="Calibri"/>
          <w:sz w:val="20"/>
          <w:szCs w:val="20"/>
          <w:color w:val="auto"/>
        </w:rPr>
        <w:t xml:space="preserve"> as appropriate.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Special blackout periods</w:t>
      </w:r>
    </w:p>
    <w:p>
      <w:pPr>
        <w:spacing w:after="0" w:line="211" w:lineRule="exact"/>
        <w:rPr>
          <w:sz w:val="20"/>
          <w:szCs w:val="20"/>
          <w:color w:val="auto"/>
        </w:rPr>
      </w:pPr>
    </w:p>
    <w:p>
      <w:pPr>
        <w:jc w:val="both"/>
        <w:ind w:firstLine="324"/>
        <w:spacing w:after="0" w:line="231" w:lineRule="auto"/>
        <w:rPr>
          <w:sz w:val="20"/>
          <w:szCs w:val="20"/>
          <w:color w:val="auto"/>
        </w:rPr>
      </w:pPr>
      <w:r>
        <w:rPr>
          <w:rFonts w:ascii="Calibri" w:cs="Calibri" w:eastAsia="Calibri" w:hAnsi="Calibri"/>
          <w:sz w:val="20"/>
          <w:szCs w:val="20"/>
          <w:color w:val="auto"/>
        </w:rPr>
        <w:t>From tme to tme, the Company may also prohibit directors, ofcers, employees and agents from engaging in transactons involving the Company’s securites when, in the judgment of the Compliance Ofcer, a trading blackout is warranted. The Company will generally impose special blackout periods when there are material developments known to the Company that have not yet been disclosed to the public. For example, the Company may impose a special blackout period in antcipaton of announcing interim earnings guidance or a signifcant transacton or business development. However, special blackout periods may be declared for any reason.</w:t>
      </w:r>
    </w:p>
    <w:p>
      <w:pPr>
        <w:spacing w:after="0" w:line="229" w:lineRule="exact"/>
        <w:rPr>
          <w:sz w:val="20"/>
          <w:szCs w:val="20"/>
          <w:color w:val="auto"/>
        </w:rPr>
      </w:pPr>
    </w:p>
    <w:p>
      <w:pPr>
        <w:jc w:val="both"/>
        <w:ind w:firstLine="324"/>
        <w:spacing w:after="0" w:line="231" w:lineRule="auto"/>
        <w:rPr>
          <w:sz w:val="20"/>
          <w:szCs w:val="20"/>
          <w:color w:val="auto"/>
        </w:rPr>
      </w:pPr>
      <w:r>
        <w:rPr>
          <w:rFonts w:ascii="Calibri" w:cs="Calibri" w:eastAsia="Calibri" w:hAnsi="Calibri"/>
          <w:sz w:val="20"/>
          <w:szCs w:val="20"/>
          <w:color w:val="auto"/>
        </w:rPr>
        <w:t>The Company will notfy those persons subject a special blackout period. Each person who has been so identfed and notfed by the Company may not engage in any transacton involving the Company’s securites untl instructed otherwise by the Compliance Ofcer, and should not disclose to others the fact of such suspension of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8</w:t>
      </w:r>
    </w:p>
    <w:p>
      <w:pPr>
        <w:sectPr>
          <w:pgSz w:w="11900" w:h="16838" w:orient="portrait"/>
          <w:cols w:equalWidth="0" w:num="1">
            <w:col w:w="11240"/>
          </w:cols>
          <w:pgMar w:left="320" w:top="1374" w:right="339" w:bottom="1440" w:gutter="0" w:footer="0" w:header="0"/>
        </w:sectPr>
      </w:pPr>
    </w:p>
    <w:bookmarkStart w:id="135" w:name="page136"/>
    <w:bookmarkEnd w:id="135"/>
    <w:p>
      <w:pPr>
        <w:spacing w:after="0"/>
        <w:rPr>
          <w:sz w:val="20"/>
          <w:szCs w:val="20"/>
          <w:color w:val="auto"/>
        </w:rPr>
      </w:pPr>
      <w:r>
        <w:rPr>
          <w:rFonts w:ascii="Calibri" w:cs="Calibri" w:eastAsia="Calibri" w:hAnsi="Calibri"/>
          <w:sz w:val="20"/>
          <w:szCs w:val="20"/>
          <w:b w:val="1"/>
          <w:bCs w:val="1"/>
          <w:color w:val="auto"/>
        </w:rPr>
        <w:t>No “safe harbors”</w:t>
      </w:r>
    </w:p>
    <w:p>
      <w:pPr>
        <w:spacing w:after="0" w:line="211" w:lineRule="exact"/>
        <w:rPr>
          <w:sz w:val="20"/>
          <w:szCs w:val="20"/>
          <w:color w:val="auto"/>
        </w:rPr>
      </w:pPr>
    </w:p>
    <w:p>
      <w:pPr>
        <w:jc w:val="both"/>
        <w:ind w:firstLine="324"/>
        <w:spacing w:after="0" w:line="230" w:lineRule="auto"/>
        <w:rPr>
          <w:sz w:val="20"/>
          <w:szCs w:val="20"/>
          <w:color w:val="auto"/>
        </w:rPr>
      </w:pPr>
      <w:r>
        <w:rPr>
          <w:rFonts w:ascii="Calibri" w:cs="Calibri" w:eastAsia="Calibri" w:hAnsi="Calibri"/>
          <w:sz w:val="20"/>
          <w:szCs w:val="20"/>
          <w:color w:val="auto"/>
        </w:rPr>
        <w:t>There are no unconditonal “safe harbors” for trades made at partcular tmes, and all persons subject to this Policy should exercise good judgment at all tmes. Even when a quarterly blackout period is not in efect, you may be prohibited from engaging in transactons involving the Company’s securites because you possess material nonpublic informaton, are subject to a special blackout period or are otherwise restricted under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9</w:t>
      </w:r>
    </w:p>
    <w:p>
      <w:pPr>
        <w:sectPr>
          <w:pgSz w:w="11900" w:h="16838" w:orient="portrait"/>
          <w:cols w:equalWidth="0" w:num="1">
            <w:col w:w="11240"/>
          </w:cols>
          <w:pgMar w:left="320" w:top="1374" w:right="339" w:bottom="1440" w:gutter="0" w:footer="0" w:header="0"/>
        </w:sectPr>
      </w:pPr>
    </w:p>
    <w:bookmarkStart w:id="136" w:name="page137"/>
    <w:bookmarkEnd w:id="136"/>
    <w:p>
      <w:pPr>
        <w:jc w:val="center"/>
        <w:ind w:right="-19"/>
        <w:spacing w:after="0"/>
        <w:rPr>
          <w:sz w:val="20"/>
          <w:szCs w:val="20"/>
          <w:color w:val="auto"/>
        </w:rPr>
      </w:pPr>
      <w:r>
        <w:rPr>
          <w:rFonts w:ascii="Calibri" w:cs="Calibri" w:eastAsia="Calibri" w:hAnsi="Calibri"/>
          <w:sz w:val="20"/>
          <w:szCs w:val="20"/>
          <w:b w:val="1"/>
          <w:bCs w:val="1"/>
          <w:color w:val="auto"/>
        </w:rPr>
        <w:t>PRE-CLEARANCE OF TRADES</w:t>
      </w:r>
    </w:p>
    <w:p>
      <w:pPr>
        <w:spacing w:after="0" w:line="211" w:lineRule="exact"/>
        <w:rPr>
          <w:sz w:val="20"/>
          <w:szCs w:val="20"/>
          <w:color w:val="auto"/>
        </w:rPr>
      </w:pPr>
    </w:p>
    <w:p>
      <w:pPr>
        <w:jc w:val="both"/>
        <w:ind w:firstLine="324"/>
        <w:spacing w:after="0" w:line="231" w:lineRule="auto"/>
        <w:rPr>
          <w:sz w:val="20"/>
          <w:szCs w:val="20"/>
          <w:color w:val="auto"/>
        </w:rPr>
      </w:pPr>
      <w:r>
        <w:rPr>
          <w:rFonts w:ascii="Calibri" w:cs="Calibri" w:eastAsia="Calibri" w:hAnsi="Calibri"/>
          <w:sz w:val="20"/>
          <w:szCs w:val="20"/>
          <w:color w:val="auto"/>
        </w:rPr>
        <w:t>Except as discussed in the secton enttled “</w:t>
      </w:r>
      <w:r>
        <w:rPr>
          <w:rFonts w:ascii="Calibri" w:cs="Calibri" w:eastAsia="Calibri" w:hAnsi="Calibri"/>
          <w:sz w:val="20"/>
          <w:szCs w:val="20"/>
          <w:b w:val="1"/>
          <w:bCs w:val="1"/>
          <w:color w:val="auto"/>
        </w:rPr>
        <w:t>Limited Exceptons</w:t>
      </w:r>
      <w:r>
        <w:rPr>
          <w:rFonts w:ascii="Calibri" w:cs="Calibri" w:eastAsia="Calibri" w:hAnsi="Calibri"/>
          <w:sz w:val="20"/>
          <w:szCs w:val="20"/>
          <w:color w:val="auto"/>
        </w:rPr>
        <w:t xml:space="preserve">”, any person listed on </w:t>
      </w:r>
      <w:r>
        <w:rPr>
          <w:rFonts w:ascii="Calibri" w:cs="Calibri" w:eastAsia="Calibri" w:hAnsi="Calibri"/>
          <w:sz w:val="20"/>
          <w:szCs w:val="20"/>
          <w:b w:val="1"/>
          <w:bCs w:val="1"/>
          <w:color w:val="auto"/>
        </w:rPr>
        <w:t>Schedule II</w:t>
      </w:r>
      <w:r>
        <w:rPr>
          <w:rFonts w:ascii="Calibri" w:cs="Calibri" w:eastAsia="Calibri" w:hAnsi="Calibri"/>
          <w:sz w:val="20"/>
          <w:szCs w:val="20"/>
          <w:color w:val="auto"/>
        </w:rPr>
        <w:t xml:space="preserve"> </w:t>
      </w:r>
      <w:r>
        <w:rPr>
          <w:rFonts w:ascii="Calibri" w:cs="Calibri" w:eastAsia="Calibri" w:hAnsi="Calibri"/>
          <w:sz w:val="20"/>
          <w:szCs w:val="20"/>
          <w:i w:val="1"/>
          <w:iCs w:val="1"/>
          <w:u w:val="single" w:color="auto"/>
          <w:color w:val="auto"/>
        </w:rPr>
        <w:t>must refrain from engaging in any</w:t>
      </w:r>
      <w:r>
        <w:rPr>
          <w:rFonts w:ascii="Calibri" w:cs="Calibri" w:eastAsia="Calibri" w:hAnsi="Calibri"/>
          <w:sz w:val="20"/>
          <w:szCs w:val="20"/>
          <w:color w:val="auto"/>
        </w:rPr>
        <w:t xml:space="preserve"> </w:t>
      </w:r>
      <w:r>
        <w:rPr>
          <w:rFonts w:ascii="Calibri" w:cs="Calibri" w:eastAsia="Calibri" w:hAnsi="Calibri"/>
          <w:sz w:val="20"/>
          <w:szCs w:val="20"/>
          <w:i w:val="1"/>
          <w:iCs w:val="1"/>
          <w:u w:val="single" w:color="auto"/>
          <w:color w:val="auto"/>
        </w:rPr>
        <w:t>transacton involving the Company’s securites without frst obtaining pre</w:t>
      </w:r>
      <w:r>
        <w:rPr>
          <w:rFonts w:ascii="Calibri" w:cs="Calibri" w:eastAsia="Calibri" w:hAnsi="Calibri"/>
          <w:sz w:val="20"/>
          <w:szCs w:val="20"/>
          <w:b w:val="1"/>
          <w:bCs w:val="1"/>
          <w:i w:val="1"/>
          <w:iCs w:val="1"/>
          <w:u w:val="single" w:color="auto"/>
          <w:color w:val="auto"/>
        </w:rPr>
        <w:t>-</w:t>
      </w:r>
      <w:r>
        <w:rPr>
          <w:rFonts w:ascii="Calibri" w:cs="Calibri" w:eastAsia="Calibri" w:hAnsi="Calibri"/>
          <w:sz w:val="20"/>
          <w:szCs w:val="20"/>
          <w:i w:val="1"/>
          <w:iCs w:val="1"/>
          <w:u w:val="single" w:color="auto"/>
          <w:color w:val="auto"/>
        </w:rPr>
        <w:t>clearance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of the transacton from the Compliance Ofcer. The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Compliance Ofcer may not engage in a transacton involving the Company’s securites unless the Chief Executve Ofcer has pre-cleared the transacton. From tme to tme, the Company may identfy other persons who should be subject to the pre</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clearance requirements set forth above, and the Compliance Ofcer may update and revise </w:t>
      </w:r>
      <w:r>
        <w:rPr>
          <w:rFonts w:ascii="Calibri" w:cs="Calibri" w:eastAsia="Calibri" w:hAnsi="Calibri"/>
          <w:sz w:val="20"/>
          <w:szCs w:val="20"/>
          <w:b w:val="1"/>
          <w:bCs w:val="1"/>
          <w:color w:val="auto"/>
        </w:rPr>
        <w:t>Schedule II</w:t>
      </w:r>
      <w:r>
        <w:rPr>
          <w:rFonts w:ascii="Calibri" w:cs="Calibri" w:eastAsia="Calibri" w:hAnsi="Calibri"/>
          <w:sz w:val="20"/>
          <w:szCs w:val="20"/>
          <w:color w:val="auto"/>
        </w:rPr>
        <w:t xml:space="preserve"> as appropriate.</w:t>
      </w:r>
    </w:p>
    <w:p>
      <w:pPr>
        <w:spacing w:after="0" w:line="229" w:lineRule="exact"/>
        <w:rPr>
          <w:sz w:val="20"/>
          <w:szCs w:val="20"/>
          <w:color w:val="auto"/>
        </w:rPr>
      </w:pPr>
    </w:p>
    <w:p>
      <w:pPr>
        <w:jc w:val="both"/>
        <w:ind w:firstLine="324"/>
        <w:spacing w:after="0" w:line="231" w:lineRule="auto"/>
        <w:rPr>
          <w:sz w:val="20"/>
          <w:szCs w:val="20"/>
          <w:color w:val="auto"/>
        </w:rPr>
      </w:pPr>
      <w:r>
        <w:rPr>
          <w:rFonts w:ascii="Calibri" w:cs="Calibri" w:eastAsia="Calibri" w:hAnsi="Calibri"/>
          <w:sz w:val="20"/>
          <w:szCs w:val="20"/>
          <w:color w:val="auto"/>
        </w:rPr>
        <w:t>These pre-clearance procedures are intended to decrease insider trading risks associated with transactons by individuals with regular or special access to material nonpublic informaton. In additon, requiring pre</w:t>
      </w:r>
      <w:r>
        <w:rPr>
          <w:rFonts w:ascii="Calibri" w:cs="Calibri" w:eastAsia="Calibri" w:hAnsi="Calibri"/>
          <w:sz w:val="20"/>
          <w:szCs w:val="20"/>
          <w:b w:val="1"/>
          <w:bCs w:val="1"/>
          <w:i w:val="1"/>
          <w:iCs w:val="1"/>
          <w:color w:val="auto"/>
        </w:rPr>
        <w:t>-</w:t>
      </w:r>
      <w:r>
        <w:rPr>
          <w:rFonts w:ascii="Calibri" w:cs="Calibri" w:eastAsia="Calibri" w:hAnsi="Calibri"/>
          <w:sz w:val="20"/>
          <w:szCs w:val="20"/>
          <w:color w:val="auto"/>
        </w:rPr>
        <w:t>clearance of transactons by directors and ofcers facilitates compliance with Rule 144 resale restrictons under the Securites Act and the liability and reportng provisions of Secton 16 under the Exchange Act. Pre-clearance of a trade, however, is not a defense to a claim of insider trading and does not excuse you from otherwise complying with insider trading laws or this Policy.</w:t>
      </w:r>
    </w:p>
    <w:p>
      <w:pPr>
        <w:spacing w:after="0" w:line="229" w:lineRule="exact"/>
        <w:rPr>
          <w:sz w:val="20"/>
          <w:szCs w:val="20"/>
          <w:color w:val="auto"/>
        </w:rPr>
      </w:pPr>
    </w:p>
    <w:p>
      <w:pPr>
        <w:jc w:val="both"/>
        <w:ind w:firstLine="324"/>
        <w:spacing w:after="0" w:line="228" w:lineRule="auto"/>
        <w:rPr>
          <w:sz w:val="20"/>
          <w:szCs w:val="20"/>
          <w:color w:val="auto"/>
        </w:rPr>
      </w:pPr>
      <w:r>
        <w:rPr>
          <w:rFonts w:ascii="Calibri" w:cs="Calibri" w:eastAsia="Calibri" w:hAnsi="Calibri"/>
          <w:sz w:val="20"/>
          <w:szCs w:val="20"/>
          <w:color w:val="auto"/>
        </w:rPr>
        <w:t>The Compliance Ofcer is under no obligaton to approve a transacton submited for pre-clearance, and may determine not to permit the transacton.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10</w:t>
      </w:r>
    </w:p>
    <w:p>
      <w:pPr>
        <w:sectPr>
          <w:pgSz w:w="11900" w:h="16838" w:orient="portrait"/>
          <w:cols w:equalWidth="0" w:num="1">
            <w:col w:w="11240"/>
          </w:cols>
          <w:pgMar w:left="320" w:top="1374" w:right="339" w:bottom="1440" w:gutter="0" w:footer="0" w:header="0"/>
        </w:sectPr>
      </w:pPr>
    </w:p>
    <w:bookmarkStart w:id="137" w:name="page138"/>
    <w:bookmarkEnd w:id="137"/>
    <w:p>
      <w:pPr>
        <w:jc w:val="center"/>
        <w:spacing w:after="0"/>
        <w:rPr>
          <w:sz w:val="20"/>
          <w:szCs w:val="20"/>
          <w:color w:val="auto"/>
        </w:rPr>
      </w:pPr>
      <w:r>
        <w:rPr>
          <w:rFonts w:ascii="Calibri" w:cs="Calibri" w:eastAsia="Calibri" w:hAnsi="Calibri"/>
          <w:sz w:val="20"/>
          <w:szCs w:val="20"/>
          <w:b w:val="1"/>
          <w:bCs w:val="1"/>
          <w:color w:val="auto"/>
        </w:rPr>
        <w:t>ADDITIONAL RESTRICTIONS AND GUIDANCE</w:t>
      </w:r>
    </w:p>
    <w:p>
      <w:pPr>
        <w:spacing w:after="0" w:line="211" w:lineRule="exact"/>
        <w:rPr>
          <w:sz w:val="20"/>
          <w:szCs w:val="20"/>
          <w:color w:val="auto"/>
        </w:rPr>
      </w:pPr>
    </w:p>
    <w:p>
      <w:pPr>
        <w:jc w:val="both"/>
        <w:ind w:firstLine="324"/>
        <w:spacing w:after="0" w:line="230" w:lineRule="auto"/>
        <w:rPr>
          <w:sz w:val="20"/>
          <w:szCs w:val="20"/>
          <w:color w:val="auto"/>
        </w:rPr>
      </w:pPr>
      <w:r>
        <w:rPr>
          <w:rFonts w:ascii="Calibri" w:cs="Calibri" w:eastAsia="Calibri" w:hAnsi="Calibri"/>
          <w:sz w:val="20"/>
          <w:szCs w:val="20"/>
          <w:color w:val="auto"/>
        </w:rPr>
        <w:t>This secton addresses certain types of transactons that may expose you and the Company to signifcant risks. You should understand that, even though a transacton may not be expressly prohibited by this secton, you are responsible for ensuring that the transacton otherwise complies with other provisions in this Policy that may apply to the transacton, such as the general prohibiton against insider trading as well as pre-clearance procedures and blackout periods, to the extent applicable.</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Short sales</w:t>
      </w:r>
    </w:p>
    <w:p>
      <w:pPr>
        <w:spacing w:after="0" w:line="211" w:lineRule="exact"/>
        <w:rPr>
          <w:sz w:val="20"/>
          <w:szCs w:val="20"/>
          <w:color w:val="auto"/>
        </w:rPr>
      </w:pPr>
    </w:p>
    <w:p>
      <w:pPr>
        <w:jc w:val="both"/>
        <w:ind w:firstLine="324"/>
        <w:spacing w:after="0" w:line="228" w:lineRule="auto"/>
        <w:rPr>
          <w:sz w:val="20"/>
          <w:szCs w:val="20"/>
          <w:color w:val="auto"/>
        </w:rPr>
      </w:pPr>
      <w:r>
        <w:rPr>
          <w:rFonts w:ascii="Calibri" w:cs="Calibri" w:eastAsia="Calibri" w:hAnsi="Calibri"/>
          <w:sz w:val="20"/>
          <w:szCs w:val="20"/>
          <w:color w:val="auto"/>
        </w:rPr>
        <w:t>Short sales (</w:t>
      </w:r>
      <w:r>
        <w:rPr>
          <w:rFonts w:ascii="Calibri" w:cs="Calibri" w:eastAsia="Calibri" w:hAnsi="Calibri"/>
          <w:sz w:val="20"/>
          <w:szCs w:val="20"/>
          <w:i w:val="1"/>
          <w:iCs w:val="1"/>
          <w:color w:val="auto"/>
        </w:rPr>
        <w:t>i.e.,</w:t>
      </w:r>
      <w:r>
        <w:rPr>
          <w:rFonts w:ascii="Calibri" w:cs="Calibri" w:eastAsia="Calibri" w:hAnsi="Calibri"/>
          <w:sz w:val="20"/>
          <w:szCs w:val="20"/>
          <w:color w:val="auto"/>
        </w:rPr>
        <w:t xml:space="preserve"> the sale of a security that must be borrowed to make delivery) and “selling short against the box” (</w:t>
      </w:r>
      <w:r>
        <w:rPr>
          <w:rFonts w:ascii="Calibri" w:cs="Calibri" w:eastAsia="Calibri" w:hAnsi="Calibri"/>
          <w:sz w:val="20"/>
          <w:szCs w:val="20"/>
          <w:i w:val="1"/>
          <w:iCs w:val="1"/>
          <w:color w:val="auto"/>
        </w:rPr>
        <w:t>i.e.,</w:t>
      </w:r>
      <w:r>
        <w:rPr>
          <w:rFonts w:ascii="Calibri" w:cs="Calibri" w:eastAsia="Calibri" w:hAnsi="Calibri"/>
          <w:sz w:val="20"/>
          <w:szCs w:val="20"/>
          <w:color w:val="auto"/>
        </w:rPr>
        <w:t xml:space="preserve"> a sale with a delayed delivery) with respect to Company securites are prohibited under this Policy.</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Derivatve securites and hedging transactons</w:t>
      </w:r>
    </w:p>
    <w:p>
      <w:pPr>
        <w:spacing w:after="0" w:line="211" w:lineRule="exact"/>
        <w:rPr>
          <w:sz w:val="20"/>
          <w:szCs w:val="20"/>
          <w:color w:val="auto"/>
        </w:rPr>
      </w:pPr>
    </w:p>
    <w:p>
      <w:pPr>
        <w:jc w:val="both"/>
        <w:ind w:firstLine="324"/>
        <w:spacing w:after="0"/>
        <w:rPr>
          <w:sz w:val="20"/>
          <w:szCs w:val="20"/>
          <w:color w:val="auto"/>
        </w:rPr>
      </w:pPr>
      <w:r>
        <w:rPr>
          <w:rFonts w:ascii="Calibri" w:cs="Calibri" w:eastAsia="Calibri" w:hAnsi="Calibri"/>
          <w:sz w:val="20"/>
          <w:szCs w:val="20"/>
          <w:color w:val="auto"/>
        </w:rPr>
        <w:t>You are prohibited from engaging in transactons in publicly traded optons, such as puts and calls, and other derivatve securites with respect to the Company’s securites. This prohibiton extends to any hedging or similar transacton designed to decrease the risks associated with holding Company securites. “Hedging” includes entering into any fnancial instruments (including prepaid variable forward contracts, equity swaps, collars and exchange funds) or otherwise engaging in any transactons that hedge or ofset, or are designed to hedge or ofset, any decrease in the market value of the Company’s securites. Stock optons, stock appreciaton rights and other securites issued pursuant to Company beneft plans or other compensatory arrangements with the Company are not subject to this prohibiton.</w:t>
      </w:r>
    </w:p>
    <w:p>
      <w:pPr>
        <w:spacing w:after="0" w:line="37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Using Company securites as collateral for loans</w:t>
      </w:r>
    </w:p>
    <w:p>
      <w:pPr>
        <w:spacing w:after="0" w:line="198" w:lineRule="exact"/>
        <w:rPr>
          <w:sz w:val="20"/>
          <w:szCs w:val="20"/>
          <w:color w:val="auto"/>
        </w:rPr>
      </w:pPr>
    </w:p>
    <w:p>
      <w:pPr>
        <w:jc w:val="both"/>
        <w:ind w:firstLine="324"/>
        <w:spacing w:after="0" w:line="233" w:lineRule="auto"/>
        <w:rPr>
          <w:sz w:val="20"/>
          <w:szCs w:val="20"/>
          <w:color w:val="auto"/>
        </w:rPr>
      </w:pPr>
      <w:r>
        <w:rPr>
          <w:rFonts w:ascii="Calibri" w:cs="Calibri" w:eastAsia="Calibri" w:hAnsi="Calibri"/>
          <w:sz w:val="20"/>
          <w:szCs w:val="20"/>
          <w:color w:val="auto"/>
        </w:rPr>
        <w:t>You may not pledge Company securites as collateral for loans. If you default on the loan, the lender may sell the pledged securites as collateral in a foreclosure sale. The sale, even though not initated at your request, is stll considered a sale for your beneft and, if made at a tme when you are aware of material nonpublic informaton or otherwise are not permited to trade in Company securites, may result in inadvertent insider trading violatons.</w:t>
      </w:r>
    </w:p>
    <w:p>
      <w:pPr>
        <w:spacing w:after="0" w:line="19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Holding Company securites in margin accounts</w:t>
      </w:r>
    </w:p>
    <w:p>
      <w:pPr>
        <w:spacing w:after="0" w:line="198" w:lineRule="exact"/>
        <w:rPr>
          <w:sz w:val="20"/>
          <w:szCs w:val="20"/>
          <w:color w:val="auto"/>
        </w:rPr>
      </w:pPr>
    </w:p>
    <w:p>
      <w:pPr>
        <w:jc w:val="both"/>
        <w:ind w:firstLine="324"/>
        <w:spacing w:after="0" w:line="233" w:lineRule="auto"/>
        <w:rPr>
          <w:sz w:val="20"/>
          <w:szCs w:val="20"/>
          <w:color w:val="auto"/>
        </w:rPr>
      </w:pPr>
      <w:r>
        <w:rPr>
          <w:rFonts w:ascii="Calibri" w:cs="Calibri" w:eastAsia="Calibri" w:hAnsi="Calibri"/>
          <w:sz w:val="20"/>
          <w:szCs w:val="20"/>
          <w:color w:val="auto"/>
        </w:rPr>
        <w:t>You may not hold Company securites in margin accounts. Under typical margin arrangements, if you fail to meet a margin call, the broker may be enttled to sell securites held in the margin account without your consent. The sale, even though not initated at your request, is stll considered a sale for your beneft and, if made at a tme when you are aware of material nonpublic informaton or are otherwise not permited to trade, may result in inadvertent insider trading violatons.</w:t>
      </w:r>
    </w:p>
    <w:p>
      <w:pPr>
        <w:spacing w:after="0" w:line="19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Placing open orders with brokers</w:t>
      </w:r>
    </w:p>
    <w:p>
      <w:pPr>
        <w:spacing w:after="0" w:line="198" w:lineRule="exact"/>
        <w:rPr>
          <w:sz w:val="20"/>
          <w:szCs w:val="20"/>
          <w:color w:val="auto"/>
        </w:rPr>
      </w:pPr>
    </w:p>
    <w:p>
      <w:pPr>
        <w:jc w:val="both"/>
        <w:ind w:firstLine="324"/>
        <w:spacing w:after="0"/>
        <w:rPr>
          <w:sz w:val="20"/>
          <w:szCs w:val="20"/>
          <w:color w:val="auto"/>
        </w:rPr>
      </w:pPr>
      <w:r>
        <w:rPr>
          <w:rFonts w:ascii="Calibri" w:cs="Calibri" w:eastAsia="Calibri" w:hAnsi="Calibri"/>
          <w:sz w:val="20"/>
          <w:szCs w:val="20"/>
          <w:color w:val="auto"/>
        </w:rPr>
        <w:t>Except in accordance with an approved trading plan (as discussed below), you should exercise cauton when placing open orders, such as limit orders or stop orders, with brokers, partcularly where the order is likely to remain outstanding for an extended period of tme. Open orders may result in the executon of a trade at a tme when you are aware of material nonpublic informaton or otherwise are not permited to trade in Company securites, which may result in inadvertent insider trading violatons. If you are subject to blackout periods or pre-clearance requirements, you should so inform any broker with whom you place any open order at the tme it is placed.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11</w:t>
      </w:r>
    </w:p>
    <w:p>
      <w:pPr>
        <w:sectPr>
          <w:pgSz w:w="11900" w:h="16838" w:orient="portrait"/>
          <w:cols w:equalWidth="0" w:num="1">
            <w:col w:w="11240"/>
          </w:cols>
          <w:pgMar w:left="320" w:top="1374" w:right="339" w:bottom="1440" w:gutter="0" w:footer="0" w:header="0"/>
        </w:sectPr>
      </w:pPr>
    </w:p>
    <w:bookmarkStart w:id="138" w:name="page139"/>
    <w:bookmarkEnd w:id="138"/>
    <w:p>
      <w:pPr>
        <w:jc w:val="center"/>
        <w:spacing w:after="0"/>
        <w:rPr>
          <w:sz w:val="20"/>
          <w:szCs w:val="20"/>
          <w:color w:val="auto"/>
        </w:rPr>
      </w:pPr>
      <w:r>
        <w:rPr>
          <w:rFonts w:ascii="Calibri" w:cs="Calibri" w:eastAsia="Calibri" w:hAnsi="Calibri"/>
          <w:sz w:val="20"/>
          <w:szCs w:val="20"/>
          <w:b w:val="1"/>
          <w:bCs w:val="1"/>
          <w:color w:val="auto"/>
        </w:rPr>
        <w:t>LIMITED EXCEPTIONS</w:t>
      </w:r>
    </w:p>
    <w:p>
      <w:pPr>
        <w:spacing w:after="0" w:line="211" w:lineRule="exact"/>
        <w:rPr>
          <w:sz w:val="20"/>
          <w:szCs w:val="20"/>
          <w:color w:val="auto"/>
        </w:rPr>
      </w:pPr>
    </w:p>
    <w:p>
      <w:pPr>
        <w:jc w:val="both"/>
        <w:ind w:firstLine="324"/>
        <w:spacing w:after="0" w:line="231" w:lineRule="auto"/>
        <w:rPr>
          <w:sz w:val="20"/>
          <w:szCs w:val="20"/>
          <w:color w:val="auto"/>
        </w:rPr>
      </w:pPr>
      <w:r>
        <w:rPr>
          <w:rFonts w:ascii="Calibri" w:cs="Calibri" w:eastAsia="Calibri" w:hAnsi="Calibri"/>
          <w:sz w:val="20"/>
          <w:szCs w:val="20"/>
          <w:color w:val="auto"/>
        </w:rPr>
        <w:t>The following are certain limited exceptons to the restrictons imposed by the Company under this Policy. Please be aware that even if a transacton is subject to an excepton to this Policy, you will need to separately assess whether the transacton complies with applicable law. For example, even if a transacton is indicated as exempt from this Policy, you may need to comply with the “short-swing” trading restrictons under Secton 16 of the Exchange Act, to the extent applicable. You are responsible for complying with applicable law at all tmes.</w:t>
      </w:r>
    </w:p>
    <w:p>
      <w:pPr>
        <w:spacing w:after="0" w:line="19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Transactons pursuant to a trading plan that complies with SEC rules</w:t>
      </w:r>
    </w:p>
    <w:p>
      <w:pPr>
        <w:spacing w:after="0" w:line="198" w:lineRule="exact"/>
        <w:rPr>
          <w:sz w:val="20"/>
          <w:szCs w:val="20"/>
          <w:color w:val="auto"/>
        </w:rPr>
      </w:pPr>
    </w:p>
    <w:p>
      <w:pPr>
        <w:jc w:val="both"/>
        <w:ind w:firstLine="324"/>
        <w:spacing w:after="0" w:line="233" w:lineRule="auto"/>
        <w:rPr>
          <w:sz w:val="20"/>
          <w:szCs w:val="20"/>
          <w:color w:val="auto"/>
        </w:rPr>
      </w:pPr>
      <w:r>
        <w:rPr>
          <w:rFonts w:ascii="Calibri" w:cs="Calibri" w:eastAsia="Calibri" w:hAnsi="Calibri"/>
          <w:sz w:val="20"/>
          <w:szCs w:val="20"/>
          <w:color w:val="auto"/>
        </w:rPr>
        <w:t>The SEC has enacted rules that provide an afrmatve defense against alleged violatons of U.S. federal insider trading laws for transactons pursuant to trading plans that meet certain requirements. In general, these rules, as set forth in Rule 10b5-1 under the Securites Exchange Act, provide for an afrmatve defense if you enter into a contract, provide instructons or adopt a writen plan for trading securites when you are not aware of material nonpublic informaton. The contract, instructons or plan must (i) specify the amount, price and date of the transacton, (ii) specify an objectve method for determining the amount, price and date of the transacton and/or (iii) place any subsequent discreton for determining the amount, price and date of the transacton in another person who is not, at the tme of the transacton, aware of material nonpublic informaton.</w:t>
      </w:r>
    </w:p>
    <w:p>
      <w:pPr>
        <w:spacing w:after="0" w:line="217" w:lineRule="exact"/>
        <w:rPr>
          <w:sz w:val="20"/>
          <w:szCs w:val="20"/>
          <w:color w:val="auto"/>
        </w:rPr>
      </w:pPr>
    </w:p>
    <w:p>
      <w:pPr>
        <w:jc w:val="both"/>
        <w:ind w:firstLine="324"/>
        <w:spacing w:after="0"/>
        <w:rPr>
          <w:sz w:val="20"/>
          <w:szCs w:val="20"/>
          <w:color w:val="auto"/>
        </w:rPr>
      </w:pPr>
      <w:r>
        <w:rPr>
          <w:rFonts w:ascii="Calibri" w:cs="Calibri" w:eastAsia="Calibri" w:hAnsi="Calibri"/>
          <w:sz w:val="20"/>
          <w:szCs w:val="20"/>
          <w:color w:val="auto"/>
        </w:rPr>
        <w:t>Transactons made pursuant to a writen trading plan that (i) complies with the afrmatve defense set forth in Rule 10b5-1, (ii) adheres to the trading plan requirements set forth by the Company and approved by the Board of Directors or an independent commitee of the Board of Directors, and (iii) is approved by the Compliance Ofcer, are not subject to the restrictons in this Policy against trades made while aware of material nonpublic informaton or to the pre-clearance procedures or blackout periods established under this Policy. In approving a trading plan, the Compliance Ofcer may, in furtherance of the objectves expressed in this Policy, impose criteria in additon to those set forth in Rule 10b5-1. You should therefore confer with the Compliance Ofcer prior to entering into any trading plan.</w:t>
      </w:r>
    </w:p>
    <w:p>
      <w:pPr>
        <w:spacing w:after="0" w:line="200" w:lineRule="exact"/>
        <w:rPr>
          <w:sz w:val="20"/>
          <w:szCs w:val="20"/>
          <w:color w:val="auto"/>
        </w:rPr>
      </w:pPr>
    </w:p>
    <w:p>
      <w:pPr>
        <w:spacing w:after="0" w:line="225" w:lineRule="exact"/>
        <w:rPr>
          <w:sz w:val="20"/>
          <w:szCs w:val="20"/>
          <w:color w:val="auto"/>
        </w:rPr>
      </w:pPr>
    </w:p>
    <w:p>
      <w:pPr>
        <w:jc w:val="both"/>
        <w:ind w:firstLine="324"/>
        <w:spacing w:after="0" w:line="230" w:lineRule="auto"/>
        <w:rPr>
          <w:sz w:val="20"/>
          <w:szCs w:val="20"/>
          <w:color w:val="auto"/>
        </w:rPr>
      </w:pPr>
      <w:r>
        <w:rPr>
          <w:rFonts w:ascii="Calibri" w:cs="Calibri" w:eastAsia="Calibri" w:hAnsi="Calibri"/>
          <w:sz w:val="20"/>
          <w:szCs w:val="20"/>
          <w:color w:val="auto"/>
        </w:rPr>
        <w:t>The SEC rules regarding trading plans are complex and must be complied with completely to be efectve. The descripton provided above is only a summary, and the Company strongly advises that you consult with your legal advisor if you intend to adopt a trading plan. While trading plans are subject to review and approval by the Company, the individual adoptng the trading plan is ultmately responsible for compliance with Rule 10b5-1 and ensuring that the trading plan complies with this Policy.</w:t>
      </w:r>
    </w:p>
    <w:p>
      <w:pPr>
        <w:spacing w:after="0" w:line="225" w:lineRule="exact"/>
        <w:rPr>
          <w:sz w:val="20"/>
          <w:szCs w:val="20"/>
          <w:color w:val="auto"/>
        </w:rPr>
      </w:pPr>
    </w:p>
    <w:p>
      <w:pPr>
        <w:jc w:val="both"/>
        <w:ind w:firstLine="324"/>
        <w:spacing w:after="0" w:line="231" w:lineRule="auto"/>
        <w:rPr>
          <w:sz w:val="20"/>
          <w:szCs w:val="20"/>
          <w:color w:val="auto"/>
        </w:rPr>
      </w:pPr>
      <w:r>
        <w:rPr>
          <w:rFonts w:ascii="Calibri" w:cs="Calibri" w:eastAsia="Calibri" w:hAnsi="Calibri"/>
          <w:sz w:val="20"/>
          <w:szCs w:val="20"/>
          <w:color w:val="auto"/>
        </w:rPr>
        <w:t>Trading plans must be fled with the Compliance Ofcer and must be accompanied with an executed certfcate statng that the trading plan complies with Rule 10b5-1 and any other criteria established by the Company. The Company may publicly disclose informaton regarding trading plans that you may enter.</w:t>
      </w:r>
    </w:p>
    <w:p>
      <w:pPr>
        <w:spacing w:after="0" w:line="19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Receipt and vestng of stock optons, restricted stock and stock appreciaton rights</w:t>
      </w:r>
    </w:p>
    <w:p>
      <w:pPr>
        <w:spacing w:after="0" w:line="198" w:lineRule="exact"/>
        <w:rPr>
          <w:sz w:val="20"/>
          <w:szCs w:val="20"/>
          <w:color w:val="auto"/>
        </w:rPr>
      </w:pPr>
    </w:p>
    <w:p>
      <w:pPr>
        <w:jc w:val="both"/>
        <w:ind w:firstLine="324"/>
        <w:spacing w:after="0"/>
        <w:rPr>
          <w:sz w:val="20"/>
          <w:szCs w:val="20"/>
          <w:color w:val="auto"/>
        </w:rPr>
      </w:pPr>
      <w:r>
        <w:rPr>
          <w:rFonts w:ascii="Calibri" w:cs="Calibri" w:eastAsia="Calibri" w:hAnsi="Calibri"/>
          <w:sz w:val="20"/>
          <w:szCs w:val="20"/>
          <w:color w:val="auto"/>
        </w:rPr>
        <w:t>The trading restrictons under this Policy do not apply to the acceptance or purchase of stock optons, restricted stock/units or stock appreciaton rights issued or ofered by the Company. The trading restrictons under this Policy also do not apply to the vestng, cancellaton or forfeiture of stock optons, restricted stock/units or stock appreciaton rights in accordance with applicable plans and agreements. However, a subsequent sale of shares issued upon vestng of an award would be covered by trading restrictons under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12</w:t>
      </w:r>
    </w:p>
    <w:p>
      <w:pPr>
        <w:sectPr>
          <w:pgSz w:w="11900" w:h="16838" w:orient="portrait"/>
          <w:cols w:equalWidth="0" w:num="1">
            <w:col w:w="11240"/>
          </w:cols>
          <w:pgMar w:left="320" w:top="1374" w:right="339" w:bottom="1440" w:gutter="0" w:footer="0" w:header="0"/>
        </w:sectPr>
      </w:pPr>
    </w:p>
    <w:bookmarkStart w:id="139" w:name="page140"/>
    <w:bookmarkEnd w:id="139"/>
    <w:p>
      <w:pPr>
        <w:spacing w:after="0"/>
        <w:rPr>
          <w:sz w:val="20"/>
          <w:szCs w:val="20"/>
          <w:color w:val="auto"/>
        </w:rPr>
      </w:pPr>
      <w:r>
        <w:rPr>
          <w:rFonts w:ascii="Calibri" w:cs="Calibri" w:eastAsia="Calibri" w:hAnsi="Calibri"/>
          <w:sz w:val="20"/>
          <w:szCs w:val="20"/>
          <w:b w:val="1"/>
          <w:bCs w:val="1"/>
          <w:color w:val="auto"/>
        </w:rPr>
        <w:t>Exercise of stock optons for cash</w:t>
      </w:r>
    </w:p>
    <w:p>
      <w:pPr>
        <w:spacing w:after="0" w:line="211" w:lineRule="exact"/>
        <w:rPr>
          <w:sz w:val="20"/>
          <w:szCs w:val="20"/>
          <w:color w:val="auto"/>
        </w:rPr>
      </w:pPr>
    </w:p>
    <w:p>
      <w:pPr>
        <w:jc w:val="both"/>
        <w:ind w:firstLine="324"/>
        <w:spacing w:after="0" w:line="233" w:lineRule="auto"/>
        <w:rPr>
          <w:sz w:val="20"/>
          <w:szCs w:val="20"/>
          <w:color w:val="auto"/>
        </w:rPr>
      </w:pPr>
      <w:r>
        <w:rPr>
          <w:rFonts w:ascii="Calibri" w:cs="Calibri" w:eastAsia="Calibri" w:hAnsi="Calibri"/>
          <w:sz w:val="20"/>
          <w:szCs w:val="20"/>
          <w:color w:val="auto"/>
        </w:rPr>
        <w:t>The trading restrictons under this Policy do not apply to the exercise of stock optons for cash under the Company’s stock opton plans. Likewise, the trading restrictons under this Policy do not apply to the exercise of stock optons in a stock-for-stock exercise with the Company or an electon to have the Company withhold securites to cover tax obligatons in connecton with an opton exercise. However, the trading restrictons under this Policy do apply to (i) the sale of any securites issued upon the exercise of a stock opton, (ii) a cashless exercise of a stock opton through a broker, since this involves selling a porton of the underlying shares to cover the costs of exercise, and (iii) any other market sale for the purpose of generatng the cash needed to pay the exercise price of an opton.</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Purchases from an employee stock purchase plan</w:t>
      </w:r>
    </w:p>
    <w:p>
      <w:pPr>
        <w:spacing w:after="0" w:line="211" w:lineRule="exact"/>
        <w:rPr>
          <w:sz w:val="20"/>
          <w:szCs w:val="20"/>
          <w:color w:val="auto"/>
        </w:rPr>
      </w:pPr>
    </w:p>
    <w:p>
      <w:pPr>
        <w:jc w:val="both"/>
        <w:ind w:firstLine="324"/>
        <w:spacing w:after="0" w:line="231" w:lineRule="auto"/>
        <w:rPr>
          <w:sz w:val="20"/>
          <w:szCs w:val="20"/>
          <w:color w:val="auto"/>
        </w:rPr>
      </w:pPr>
      <w:r>
        <w:rPr>
          <w:rFonts w:ascii="Calibri" w:cs="Calibri" w:eastAsia="Calibri" w:hAnsi="Calibri"/>
          <w:sz w:val="20"/>
          <w:szCs w:val="20"/>
          <w:color w:val="auto"/>
        </w:rPr>
        <w:t>The trading restrictons in this Policy do not apply to electons with respect to partcipaton in the Company’s employee stock purchase plan (if any) or to purchases of securites under the plan. However, the trading restrictons do apply to any subsequent sales of any such securites.</w:t>
      </w:r>
    </w:p>
    <w:p>
      <w:pPr>
        <w:spacing w:after="0" w:line="19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Certain 401(k) plan transactons</w:t>
      </w:r>
    </w:p>
    <w:p>
      <w:pPr>
        <w:spacing w:after="0" w:line="198" w:lineRule="exact"/>
        <w:rPr>
          <w:sz w:val="20"/>
          <w:szCs w:val="20"/>
          <w:color w:val="auto"/>
        </w:rPr>
      </w:pPr>
    </w:p>
    <w:p>
      <w:pPr>
        <w:jc w:val="both"/>
        <w:ind w:firstLine="324"/>
        <w:spacing w:after="0" w:line="233" w:lineRule="auto"/>
        <w:rPr>
          <w:sz w:val="20"/>
          <w:szCs w:val="20"/>
          <w:color w:val="auto"/>
        </w:rPr>
      </w:pPr>
      <w:r>
        <w:rPr>
          <w:rFonts w:ascii="Calibri" w:cs="Calibri" w:eastAsia="Calibri" w:hAnsi="Calibri"/>
          <w:sz w:val="20"/>
          <w:szCs w:val="20"/>
          <w:color w:val="auto"/>
        </w:rPr>
        <w:t>The trading restrictons in this Policy do not apply to purchases of Company stock in the 401(k) plan (if any) resultng from periodic contributons to the plan based on your payroll contributon electon. The trading restrictons do apply, however, to electons you make under the 401(k) plan to (i) increase or decrease the percentage of your contributons that will be allocated to a Company stock fund, (ii) move balances into or out of a Company stock fund, (iii) borrow money against your 401(k) plan account if the loan will result in liquidaton of some or all of your Company stock fund balance, and (iv) pre-pay a plan loan if the pre-payment will result in the allocaton of loan proceeds to a Company stock fund.</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Stock splits, stock dividends and similar transactons</w:t>
      </w:r>
    </w:p>
    <w:p>
      <w:pPr>
        <w:spacing w:after="0" w:line="211" w:lineRule="exact"/>
        <w:rPr>
          <w:sz w:val="20"/>
          <w:szCs w:val="20"/>
          <w:color w:val="auto"/>
        </w:rPr>
      </w:pPr>
    </w:p>
    <w:p>
      <w:pPr>
        <w:jc w:val="both"/>
        <w:ind w:firstLine="324"/>
        <w:spacing w:after="0" w:line="228" w:lineRule="auto"/>
        <w:rPr>
          <w:sz w:val="20"/>
          <w:szCs w:val="20"/>
          <w:color w:val="auto"/>
        </w:rPr>
      </w:pPr>
      <w:r>
        <w:rPr>
          <w:rFonts w:ascii="Calibri" w:cs="Calibri" w:eastAsia="Calibri" w:hAnsi="Calibri"/>
          <w:sz w:val="20"/>
          <w:szCs w:val="20"/>
          <w:color w:val="auto"/>
        </w:rPr>
        <w:t>The trading restrictons under this Policy do not apply to a change in the number of securites held as a result of a stock split or stock dividend applying equally to all securites of a class, or similar transactons.</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Diversifed mutual funds</w:t>
      </w:r>
    </w:p>
    <w:p>
      <w:pPr>
        <w:spacing w:after="0" w:line="188" w:lineRule="exact"/>
        <w:rPr>
          <w:sz w:val="20"/>
          <w:szCs w:val="20"/>
          <w:color w:val="auto"/>
        </w:rPr>
      </w:pPr>
    </w:p>
    <w:p>
      <w:pPr>
        <w:ind w:left="340"/>
        <w:spacing w:after="0"/>
        <w:rPr>
          <w:sz w:val="20"/>
          <w:szCs w:val="20"/>
          <w:color w:val="auto"/>
        </w:rPr>
      </w:pPr>
      <w:r>
        <w:rPr>
          <w:rFonts w:ascii="Calibri" w:cs="Calibri" w:eastAsia="Calibri" w:hAnsi="Calibri"/>
          <w:sz w:val="20"/>
          <w:szCs w:val="20"/>
          <w:color w:val="auto"/>
        </w:rPr>
        <w:t>The trading restrictons under this Policy do not apply to diversifed mutual funds that are invested in Company securites.</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Change in form of ownership</w:t>
      </w:r>
    </w:p>
    <w:p>
      <w:pPr>
        <w:spacing w:after="0" w:line="211" w:lineRule="exact"/>
        <w:rPr>
          <w:sz w:val="20"/>
          <w:szCs w:val="20"/>
          <w:color w:val="auto"/>
        </w:rPr>
      </w:pPr>
    </w:p>
    <w:p>
      <w:pPr>
        <w:jc w:val="both"/>
        <w:ind w:firstLine="324"/>
        <w:spacing w:after="0" w:line="228" w:lineRule="auto"/>
        <w:rPr>
          <w:sz w:val="20"/>
          <w:szCs w:val="20"/>
          <w:color w:val="auto"/>
        </w:rPr>
      </w:pPr>
      <w:r>
        <w:rPr>
          <w:rFonts w:ascii="Calibri" w:cs="Calibri" w:eastAsia="Calibri" w:hAnsi="Calibri"/>
          <w:sz w:val="20"/>
          <w:szCs w:val="20"/>
          <w:color w:val="auto"/>
        </w:rPr>
        <w:t xml:space="preserve">Transactons that involve merely a change in the form in which you own securites are permissible. For example, you may transfer shares to an </w:t>
      </w:r>
      <w:r>
        <w:rPr>
          <w:rFonts w:ascii="Calibri" w:cs="Calibri" w:eastAsia="Calibri" w:hAnsi="Calibri"/>
          <w:sz w:val="20"/>
          <w:szCs w:val="20"/>
          <w:i w:val="1"/>
          <w:iCs w:val="1"/>
          <w:color w:val="auto"/>
        </w:rPr>
        <w:t>inter vivos</w:t>
      </w:r>
      <w:r>
        <w:rPr>
          <w:rFonts w:ascii="Calibri" w:cs="Calibri" w:eastAsia="Calibri" w:hAnsi="Calibri"/>
          <w:sz w:val="20"/>
          <w:szCs w:val="20"/>
          <w:color w:val="auto"/>
        </w:rPr>
        <w:t xml:space="preserve"> trust of which you are the sole benefciary during your lifetme.</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Other exceptons</w:t>
      </w:r>
    </w:p>
    <w:p>
      <w:pPr>
        <w:spacing w:after="0" w:line="198" w:lineRule="exact"/>
        <w:rPr>
          <w:sz w:val="20"/>
          <w:szCs w:val="20"/>
          <w:color w:val="auto"/>
        </w:rPr>
      </w:pPr>
    </w:p>
    <w:p>
      <w:pPr>
        <w:jc w:val="both"/>
        <w:ind w:firstLine="324"/>
        <w:spacing w:after="0" w:line="234" w:lineRule="auto"/>
        <w:rPr>
          <w:sz w:val="20"/>
          <w:szCs w:val="20"/>
          <w:color w:val="auto"/>
        </w:rPr>
      </w:pPr>
      <w:r>
        <w:rPr>
          <w:rFonts w:ascii="Calibri" w:cs="Calibri" w:eastAsia="Calibri" w:hAnsi="Calibri"/>
          <w:sz w:val="20"/>
          <w:szCs w:val="20"/>
          <w:color w:val="auto"/>
        </w:rPr>
        <w:t>Any other excepton from this Policy must be approved by the Compliance Ofcer, in consultaton with the Board of Directors or an independent commitee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13</w:t>
      </w:r>
    </w:p>
    <w:p>
      <w:pPr>
        <w:sectPr>
          <w:pgSz w:w="11900" w:h="16838" w:orient="portrait"/>
          <w:cols w:equalWidth="0" w:num="1">
            <w:col w:w="11240"/>
          </w:cols>
          <w:pgMar w:left="320" w:top="1374" w:right="339" w:bottom="1440" w:gutter="0" w:footer="0" w:header="0"/>
        </w:sectPr>
      </w:pPr>
    </w:p>
    <w:bookmarkStart w:id="140" w:name="page141"/>
    <w:bookmarkEnd w:id="140"/>
    <w:p>
      <w:pPr>
        <w:jc w:val="center"/>
        <w:spacing w:after="0"/>
        <w:rPr>
          <w:sz w:val="20"/>
          <w:szCs w:val="20"/>
          <w:color w:val="auto"/>
        </w:rPr>
      </w:pPr>
      <w:r>
        <w:rPr>
          <w:rFonts w:ascii="Calibri" w:cs="Calibri" w:eastAsia="Calibri" w:hAnsi="Calibri"/>
          <w:sz w:val="20"/>
          <w:szCs w:val="20"/>
          <w:b w:val="1"/>
          <w:bCs w:val="1"/>
          <w:color w:val="auto"/>
        </w:rPr>
        <w:t>COMPLIANCE WITH SECTION 16 OF THE SECURITIES EXCHANGE ACT</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Obligatons under Secton 16</w:t>
      </w:r>
    </w:p>
    <w:p>
      <w:pPr>
        <w:spacing w:after="0" w:line="198" w:lineRule="exact"/>
        <w:rPr>
          <w:sz w:val="20"/>
          <w:szCs w:val="20"/>
          <w:color w:val="auto"/>
        </w:rPr>
      </w:pPr>
    </w:p>
    <w:p>
      <w:pPr>
        <w:jc w:val="both"/>
        <w:ind w:firstLine="324"/>
        <w:spacing w:after="0" w:line="236" w:lineRule="auto"/>
        <w:rPr>
          <w:sz w:val="20"/>
          <w:szCs w:val="20"/>
          <w:color w:val="auto"/>
        </w:rPr>
      </w:pPr>
      <w:r>
        <w:rPr>
          <w:rFonts w:ascii="Calibri" w:cs="Calibri" w:eastAsia="Calibri" w:hAnsi="Calibri"/>
          <w:sz w:val="20"/>
          <w:szCs w:val="20"/>
          <w:color w:val="auto"/>
        </w:rPr>
        <w:t>Secton 16 of the Securites Exchange Act of 1934, and the related rules and regulatons, set forth (i) reportng obligatons, (ii) limitatons on “short-swing” transactons and (iii) limitatons on short sales and other transactons applicable to directors, ofcers, large shareholders and certain other persons.</w:t>
      </w:r>
    </w:p>
    <w:p>
      <w:pPr>
        <w:spacing w:after="0" w:line="211" w:lineRule="exact"/>
        <w:rPr>
          <w:sz w:val="20"/>
          <w:szCs w:val="20"/>
          <w:color w:val="auto"/>
        </w:rPr>
      </w:pPr>
    </w:p>
    <w:p>
      <w:pPr>
        <w:jc w:val="both"/>
        <w:ind w:firstLine="324"/>
        <w:spacing w:after="0" w:line="233" w:lineRule="auto"/>
        <w:rPr>
          <w:sz w:val="20"/>
          <w:szCs w:val="20"/>
          <w:color w:val="auto"/>
        </w:rPr>
      </w:pPr>
      <w:r>
        <w:rPr>
          <w:rFonts w:ascii="Calibri" w:cs="Calibri" w:eastAsia="Calibri" w:hAnsi="Calibri"/>
          <w:sz w:val="20"/>
          <w:szCs w:val="20"/>
          <w:color w:val="auto"/>
        </w:rPr>
        <w:t xml:space="preserve">The Company has determined that those persons listed on </w:t>
      </w:r>
      <w:r>
        <w:rPr>
          <w:rFonts w:ascii="Calibri" w:cs="Calibri" w:eastAsia="Calibri" w:hAnsi="Calibri"/>
          <w:sz w:val="20"/>
          <w:szCs w:val="20"/>
          <w:b w:val="1"/>
          <w:bCs w:val="1"/>
          <w:color w:val="auto"/>
        </w:rPr>
        <w:t>Schedule III</w:t>
      </w:r>
      <w:r>
        <w:rPr>
          <w:rFonts w:ascii="Calibri" w:cs="Calibri" w:eastAsia="Calibri" w:hAnsi="Calibri"/>
          <w:sz w:val="20"/>
          <w:szCs w:val="20"/>
          <w:color w:val="auto"/>
        </w:rPr>
        <w:t xml:space="preserve"> are required to comply with Secton 16 of the Securites Exchange Act of 1934, and the related rules and regulatons, because of their positons with the Company. The Compliance Ofcer may amend </w:t>
      </w:r>
      <w:r>
        <w:rPr>
          <w:rFonts w:ascii="Calibri" w:cs="Calibri" w:eastAsia="Calibri" w:hAnsi="Calibri"/>
          <w:sz w:val="20"/>
          <w:szCs w:val="20"/>
          <w:b w:val="1"/>
          <w:bCs w:val="1"/>
          <w:color w:val="auto"/>
        </w:rPr>
        <w:t>Schedule III</w:t>
      </w:r>
      <w:r>
        <w:rPr>
          <w:rFonts w:ascii="Calibri" w:cs="Calibri" w:eastAsia="Calibri" w:hAnsi="Calibri"/>
          <w:sz w:val="20"/>
          <w:szCs w:val="20"/>
          <w:color w:val="auto"/>
        </w:rPr>
        <w:t xml:space="preserve"> from tme to tme as appropriate to refect the electon of new ofcers or directors, any change in the responsibilites of ofcers or other employees and any promotons, demotons, resignatons or departures.</w:t>
      </w:r>
    </w:p>
    <w:p>
      <w:pPr>
        <w:spacing w:after="0" w:line="213" w:lineRule="exact"/>
        <w:rPr>
          <w:sz w:val="20"/>
          <w:szCs w:val="20"/>
          <w:color w:val="auto"/>
        </w:rPr>
      </w:pPr>
    </w:p>
    <w:p>
      <w:pPr>
        <w:jc w:val="both"/>
        <w:ind w:right="20" w:firstLine="324"/>
        <w:spacing w:after="0" w:line="234" w:lineRule="auto"/>
        <w:rPr>
          <w:sz w:val="20"/>
          <w:szCs w:val="20"/>
          <w:color w:val="auto"/>
        </w:rPr>
      </w:pPr>
      <w:r>
        <w:rPr>
          <w:rFonts w:ascii="Calibri" w:cs="Calibri" w:eastAsia="Calibri" w:hAnsi="Calibri"/>
          <w:sz w:val="20"/>
          <w:szCs w:val="20"/>
          <w:b w:val="1"/>
          <w:bCs w:val="1"/>
          <w:color w:val="auto"/>
        </w:rPr>
        <w:t xml:space="preserve">Schedule III </w:t>
      </w:r>
      <w:r>
        <w:rPr>
          <w:rFonts w:ascii="Calibri" w:cs="Calibri" w:eastAsia="Calibri" w:hAnsi="Calibri"/>
          <w:sz w:val="20"/>
          <w:szCs w:val="20"/>
          <w:color w:val="auto"/>
        </w:rPr>
        <w:t>is not necessarily an exhaustve list of persons subject to Secton 16 requirements at any given tme. Even if you are not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listed on </w:t>
      </w:r>
      <w:r>
        <w:rPr>
          <w:rFonts w:ascii="Calibri" w:cs="Calibri" w:eastAsia="Calibri" w:hAnsi="Calibri"/>
          <w:sz w:val="20"/>
          <w:szCs w:val="20"/>
          <w:b w:val="1"/>
          <w:bCs w:val="1"/>
          <w:color w:val="auto"/>
        </w:rPr>
        <w:t>Schedule III</w:t>
      </w:r>
      <w:r>
        <w:rPr>
          <w:rFonts w:ascii="Calibri" w:cs="Calibri" w:eastAsia="Calibri" w:hAnsi="Calibri"/>
          <w:sz w:val="20"/>
          <w:szCs w:val="20"/>
          <w:color w:val="auto"/>
        </w:rPr>
        <w:t>, you may be subject to Secton 16 reportng obligatons because of your shareholdings, for example.</w:t>
      </w:r>
    </w:p>
    <w:p>
      <w:pPr>
        <w:spacing w:after="0" w:line="226" w:lineRule="exact"/>
        <w:rPr>
          <w:sz w:val="20"/>
          <w:szCs w:val="20"/>
          <w:color w:val="auto"/>
        </w:rPr>
      </w:pPr>
    </w:p>
    <w:p>
      <w:pPr>
        <w:jc w:val="both"/>
        <w:ind w:firstLine="324"/>
        <w:spacing w:after="0" w:line="230" w:lineRule="auto"/>
        <w:rPr>
          <w:sz w:val="20"/>
          <w:szCs w:val="20"/>
          <w:color w:val="auto"/>
        </w:rPr>
      </w:pPr>
      <w:r>
        <w:rPr>
          <w:rFonts w:ascii="Calibri" w:cs="Calibri" w:eastAsia="Calibri" w:hAnsi="Calibri"/>
          <w:sz w:val="20"/>
          <w:szCs w:val="20"/>
          <w:color w:val="auto"/>
        </w:rPr>
        <w:t xml:space="preserve">In additon to any pre-clearance requirements discussed above, before any person listed on </w:t>
      </w:r>
      <w:r>
        <w:rPr>
          <w:rFonts w:ascii="Calibri" w:cs="Calibri" w:eastAsia="Calibri" w:hAnsi="Calibri"/>
          <w:sz w:val="20"/>
          <w:szCs w:val="20"/>
          <w:b w:val="1"/>
          <w:bCs w:val="1"/>
          <w:color w:val="auto"/>
        </w:rPr>
        <w:t>Schedule III</w:t>
      </w:r>
      <w:r>
        <w:rPr>
          <w:rFonts w:ascii="Calibri" w:cs="Calibri" w:eastAsia="Calibri" w:hAnsi="Calibri"/>
          <w:sz w:val="20"/>
          <w:szCs w:val="20"/>
          <w:color w:val="auto"/>
        </w:rPr>
        <w:t xml:space="preserve"> purchases or sells any Company securites, he or she is required to contact the Compliance Ofcer regarding (i) compliance with Rule 144, if applicable; and (ii) the preparaton of the requisite Form 4 to be fled with the SEC. The Compliance Ofcer will assist in completng the Form 4 and can fle it on your behalf with the SEC if needed. However, the completon and fling of the Form 4 is ultmately the responsibility of you alone.</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Notfcaton requirements to facilitate Secton 16 reportng</w:t>
      </w:r>
    </w:p>
    <w:p>
      <w:pPr>
        <w:spacing w:after="0" w:line="211" w:lineRule="exact"/>
        <w:rPr>
          <w:sz w:val="20"/>
          <w:szCs w:val="20"/>
          <w:color w:val="auto"/>
        </w:rPr>
      </w:pPr>
    </w:p>
    <w:p>
      <w:pPr>
        <w:jc w:val="both"/>
        <w:ind w:firstLine="324"/>
        <w:spacing w:after="0" w:line="231" w:lineRule="auto"/>
        <w:rPr>
          <w:sz w:val="20"/>
          <w:szCs w:val="20"/>
          <w:color w:val="auto"/>
        </w:rPr>
      </w:pPr>
      <w:r>
        <w:rPr>
          <w:rFonts w:ascii="Calibri" w:cs="Calibri" w:eastAsia="Calibri" w:hAnsi="Calibri"/>
          <w:sz w:val="20"/>
          <w:szCs w:val="20"/>
          <w:color w:val="auto"/>
        </w:rPr>
        <w:t>To facilitate tmely reportng of transactons pursuant to Secton 16 requirements, each person subject to Secton 16 reportng requirements must provide, or must ensure that his or her broker provides, the Company with detailed informaton (</w:t>
      </w:r>
      <w:r>
        <w:rPr>
          <w:rFonts w:ascii="Calibri" w:cs="Calibri" w:eastAsia="Calibri" w:hAnsi="Calibri"/>
          <w:sz w:val="20"/>
          <w:szCs w:val="20"/>
          <w:i w:val="1"/>
          <w:iCs w:val="1"/>
          <w:color w:val="auto"/>
        </w:rPr>
        <w:t>e.g.,</w:t>
      </w:r>
      <w:r>
        <w:rPr>
          <w:rFonts w:ascii="Calibri" w:cs="Calibri" w:eastAsia="Calibri" w:hAnsi="Calibri"/>
          <w:sz w:val="20"/>
          <w:szCs w:val="20"/>
          <w:color w:val="auto"/>
        </w:rPr>
        <w:t xml:space="preserve"> trade date, number of shares, exact price, </w:t>
      </w:r>
      <w:r>
        <w:rPr>
          <w:rFonts w:ascii="Calibri" w:cs="Calibri" w:eastAsia="Calibri" w:hAnsi="Calibri"/>
          <w:sz w:val="20"/>
          <w:szCs w:val="20"/>
          <w:i w:val="1"/>
          <w:iCs w:val="1"/>
          <w:color w:val="auto"/>
        </w:rPr>
        <w:t>etc.</w:t>
      </w:r>
      <w:r>
        <w:rPr>
          <w:rFonts w:ascii="Calibri" w:cs="Calibri" w:eastAsia="Calibri" w:hAnsi="Calibri"/>
          <w:sz w:val="20"/>
          <w:szCs w:val="20"/>
          <w:color w:val="auto"/>
        </w:rPr>
        <w:t>) regarding his or her transactons involving the Company’s securites, including gifs, transfers, pledges and transactons pursuant to a trading plan, both prior to (to confrm compliance with pre-clearance procedures, if applicable) and promptly following executon.</w:t>
      </w:r>
    </w:p>
    <w:p>
      <w:pPr>
        <w:spacing w:after="0" w:line="19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Personal responsibility</w:t>
      </w:r>
    </w:p>
    <w:p>
      <w:pPr>
        <w:spacing w:after="0" w:line="198" w:lineRule="exact"/>
        <w:rPr>
          <w:sz w:val="20"/>
          <w:szCs w:val="20"/>
          <w:color w:val="auto"/>
        </w:rPr>
      </w:pPr>
    </w:p>
    <w:p>
      <w:pPr>
        <w:jc w:val="both"/>
        <w:ind w:firstLine="324"/>
        <w:spacing w:after="0" w:line="234" w:lineRule="auto"/>
        <w:rPr>
          <w:sz w:val="20"/>
          <w:szCs w:val="20"/>
          <w:color w:val="auto"/>
        </w:rPr>
      </w:pPr>
      <w:r>
        <w:rPr>
          <w:rFonts w:ascii="Calibri" w:cs="Calibri" w:eastAsia="Calibri" w:hAnsi="Calibri"/>
          <w:sz w:val="20"/>
          <w:szCs w:val="20"/>
          <w:color w:val="auto"/>
        </w:rPr>
        <w:t>The obligaton to fle Secton 16 reports, and to otherwise comply with Secton 16, is personal. The Company is not responsible for the failure to comply with Secton 16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14</w:t>
      </w:r>
    </w:p>
    <w:p>
      <w:pPr>
        <w:sectPr>
          <w:pgSz w:w="11900" w:h="16838" w:orient="portrait"/>
          <w:cols w:equalWidth="0" w:num="1">
            <w:col w:w="11240"/>
          </w:cols>
          <w:pgMar w:left="320" w:top="1374" w:right="339" w:bottom="1440" w:gutter="0" w:footer="0" w:header="0"/>
        </w:sectPr>
      </w:pPr>
    </w:p>
    <w:bookmarkStart w:id="141" w:name="page142"/>
    <w:bookmarkEnd w:id="141"/>
    <w:p>
      <w:pPr>
        <w:jc w:val="center"/>
        <w:spacing w:after="0"/>
        <w:rPr>
          <w:sz w:val="20"/>
          <w:szCs w:val="20"/>
          <w:color w:val="auto"/>
        </w:rPr>
      </w:pPr>
      <w:r>
        <w:rPr>
          <w:rFonts w:ascii="Calibri" w:cs="Calibri" w:eastAsia="Calibri" w:hAnsi="Calibri"/>
          <w:sz w:val="20"/>
          <w:szCs w:val="20"/>
          <w:b w:val="1"/>
          <w:bCs w:val="1"/>
          <w:color w:val="auto"/>
        </w:rPr>
        <w:t>ADDITIONAL INFORMATION</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Delivery of policy</w:t>
      </w:r>
    </w:p>
    <w:p>
      <w:pPr>
        <w:spacing w:after="0" w:line="198" w:lineRule="exact"/>
        <w:rPr>
          <w:sz w:val="20"/>
          <w:szCs w:val="20"/>
          <w:color w:val="auto"/>
        </w:rPr>
      </w:pPr>
    </w:p>
    <w:p>
      <w:pPr>
        <w:jc w:val="both"/>
        <w:ind w:firstLine="324"/>
        <w:spacing w:after="0" w:line="233" w:lineRule="auto"/>
        <w:rPr>
          <w:sz w:val="20"/>
          <w:szCs w:val="20"/>
          <w:color w:val="auto"/>
        </w:rPr>
      </w:pPr>
      <w:r>
        <w:rPr>
          <w:rFonts w:ascii="Calibri" w:cs="Calibri" w:eastAsia="Calibri" w:hAnsi="Calibri"/>
          <w:sz w:val="20"/>
          <w:szCs w:val="20"/>
          <w:color w:val="auto"/>
        </w:rPr>
        <w:t>This Policy will be delivered to all directors, ofcers, employees and covered agents of the Company when they commence service with the Company. In additon, this Policy (or a summary of this Policy) will be circulated periodically. Each director, ofcer, employee and covered agent of the Company is required to acknowledge, by signing the acknowledgement page atached, that he or she understands, and agrees to comply with, this Policy.</w:t>
      </w:r>
    </w:p>
    <w:p>
      <w:pPr>
        <w:spacing w:after="0" w:line="19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Amendments</w:t>
      </w:r>
    </w:p>
    <w:p>
      <w:pPr>
        <w:spacing w:after="0" w:line="198" w:lineRule="exact"/>
        <w:rPr>
          <w:sz w:val="20"/>
          <w:szCs w:val="20"/>
          <w:color w:val="auto"/>
        </w:rPr>
      </w:pPr>
    </w:p>
    <w:p>
      <w:pPr>
        <w:jc w:val="both"/>
        <w:ind w:firstLine="324"/>
        <w:spacing w:after="0" w:line="236" w:lineRule="auto"/>
        <w:rPr>
          <w:sz w:val="20"/>
          <w:szCs w:val="20"/>
          <w:color w:val="auto"/>
        </w:rPr>
      </w:pPr>
      <w:r>
        <w:rPr>
          <w:rFonts w:ascii="Calibri" w:cs="Calibri" w:eastAsia="Calibri" w:hAnsi="Calibri"/>
          <w:sz w:val="20"/>
          <w:szCs w:val="20"/>
          <w:color w:val="auto"/>
        </w:rPr>
        <w:t>We are commited to contnuously reviewing and updatng our policies and procedures. The Company therefore reserves the right to amend, alter or terminate this Policy at any tme and for any reason, subject to applicable law. A current copy of the Company’s policies regarding insider trading may be obtained by contactng the Compliance Ofcer.</w:t>
      </w:r>
    </w:p>
    <w:p>
      <w:pPr>
        <w:spacing w:after="0" w:line="202" w:lineRule="exact"/>
        <w:rPr>
          <w:sz w:val="20"/>
          <w:szCs w:val="20"/>
          <w:color w:val="auto"/>
        </w:rPr>
      </w:pPr>
    </w:p>
    <w:p>
      <w:pPr>
        <w:jc w:val="center"/>
        <w:spacing w:after="0"/>
        <w:tabs>
          <w:tab w:leader="none" w:pos="180" w:val="left"/>
          <w:tab w:leader="none" w:pos="160" w:val="left"/>
        </w:tabs>
        <w:rPr>
          <w:sz w:val="20"/>
          <w:szCs w:val="20"/>
          <w:color w:val="auto"/>
        </w:rPr>
      </w:pPr>
      <w:r>
        <w:rPr>
          <w:rFonts w:ascii="Calibri" w:cs="Calibri" w:eastAsia="Calibri" w:hAnsi="Calibri"/>
          <w:sz w:val="20"/>
          <w:szCs w:val="20"/>
          <w:color w:val="auto"/>
        </w:rPr>
        <w:t>*</w:t>
        <w:tab/>
        <w:t>*</w:t>
        <w:tab/>
        <w:t>*</w:t>
      </w:r>
    </w:p>
    <w:p>
      <w:pPr>
        <w:spacing w:after="0" w:line="225" w:lineRule="exact"/>
        <w:rPr>
          <w:sz w:val="20"/>
          <w:szCs w:val="20"/>
          <w:color w:val="auto"/>
        </w:rPr>
      </w:pPr>
    </w:p>
    <w:p>
      <w:pPr>
        <w:jc w:val="both"/>
        <w:ind w:right="20" w:firstLine="324"/>
        <w:spacing w:after="0" w:line="228" w:lineRule="auto"/>
        <w:rPr>
          <w:sz w:val="20"/>
          <w:szCs w:val="20"/>
          <w:color w:val="auto"/>
        </w:rPr>
      </w:pPr>
      <w:r>
        <w:rPr>
          <w:rFonts w:ascii="Calibri" w:cs="Calibri" w:eastAsia="Calibri" w:hAnsi="Calibri"/>
          <w:sz w:val="20"/>
          <w:szCs w:val="20"/>
          <w:i w:val="1"/>
          <w:iCs w:val="1"/>
          <w:color w:val="auto"/>
        </w:rPr>
        <w:t>Nothing in this Insider Trading Policy creates or implies an employment contract or term of employment. Nothing in this Insider Trading Policy shall limit any applicable right to terminate employment at-will.</w:t>
      </w:r>
    </w:p>
    <w:p>
      <w:pPr>
        <w:spacing w:after="0" w:line="225" w:lineRule="exact"/>
        <w:rPr>
          <w:sz w:val="20"/>
          <w:szCs w:val="20"/>
          <w:color w:val="auto"/>
        </w:rPr>
      </w:pPr>
    </w:p>
    <w:p>
      <w:pPr>
        <w:jc w:val="both"/>
        <w:ind w:firstLine="324"/>
        <w:spacing w:after="0" w:line="234" w:lineRule="auto"/>
        <w:rPr>
          <w:sz w:val="20"/>
          <w:szCs w:val="20"/>
          <w:color w:val="auto"/>
        </w:rPr>
      </w:pPr>
      <w:r>
        <w:rPr>
          <w:rFonts w:ascii="Calibri" w:cs="Calibri" w:eastAsia="Calibri" w:hAnsi="Calibri"/>
          <w:sz w:val="20"/>
          <w:szCs w:val="20"/>
          <w:i w:val="1"/>
          <w:iCs w:val="1"/>
          <w:color w:val="auto"/>
        </w:rPr>
        <w:t>The policies in this Insider Trading Policy do not consttute a complete list of Company policies or a complete list of the types of conduct that can result in discipline, up to and including discharge.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15</w:t>
      </w:r>
    </w:p>
    <w:p>
      <w:pPr>
        <w:sectPr>
          <w:pgSz w:w="11900" w:h="16838" w:orient="portrait"/>
          <w:cols w:equalWidth="0" w:num="1">
            <w:col w:w="11240"/>
          </w:cols>
          <w:pgMar w:left="320" w:top="1374"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743"/>
        </w:trPr>
        <w:tc>
          <w:tcPr>
            <w:tcW w:w="8160" w:type="dxa"/>
            <w:vAlign w:val="bottom"/>
            <w:gridSpan w:val="2"/>
          </w:tcPr>
          <w:p>
            <w:pPr>
              <w:ind w:left="40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3080" w:type="dxa"/>
            <w:vAlign w:val="bottom"/>
          </w:tcPr>
          <w:p>
            <w:pPr>
              <w:spacing w:after="0"/>
              <w:rPr>
                <w:sz w:val="24"/>
                <w:szCs w:val="24"/>
                <w:color w:val="auto"/>
              </w:rPr>
            </w:pPr>
          </w:p>
        </w:tc>
      </w:tr>
      <w:tr>
        <w:trPr>
          <w:trHeight w:val="513"/>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r>
      <w:tr>
        <w:trPr>
          <w:trHeight w:val="223"/>
        </w:trPr>
        <w:tc>
          <w:tcPr>
            <w:tcW w:w="8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Carmenere Holding Company</w:t>
            </w:r>
          </w:p>
        </w:tc>
        <w:tc>
          <w:tcPr>
            <w:tcW w:w="100" w:type="dxa"/>
            <w:vAlign w:val="bottom"/>
            <w:tcBorders>
              <w:top w:val="single" w:sz="8" w:color="CCEEFF"/>
            </w:tcBorders>
            <w:shd w:val="clear" w:color="auto" w:fill="CCEEFF"/>
          </w:tcPr>
          <w:p>
            <w:pPr>
              <w:spacing w:after="0"/>
              <w:rPr>
                <w:sz w:val="19"/>
                <w:szCs w:val="19"/>
                <w:color w:val="auto"/>
              </w:rPr>
            </w:pPr>
          </w:p>
        </w:tc>
        <w:tc>
          <w:tcPr>
            <w:tcW w:w="3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(Beijing) Information Technology Company Limited</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comScore Argentina S.A.</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2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Asia Limited</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comScore Asia Pte Ltd.</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2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Australia Pty Limited</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comScore Brand Awareness, L.L.C.</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r>
        <w:trPr>
          <w:trHeight w:val="22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Brazil Ltda.</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comScore BV</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Canada, Inc.</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comScore Chile S.A.</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Chile</w:t>
            </w:r>
          </w:p>
        </w:tc>
      </w:tr>
      <w:tr>
        <w:trPr>
          <w:trHeight w:val="22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Colombia SAS</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Colombia</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comScore CZ s.r.o.</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2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Europe, LLC</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comScore France SARL</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GmbH</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comScore Holdings LLC</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International Inc.</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comScore Japan Kabushiki Kaisha</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2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Mexico, S.A. de C.V.</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comScore Peru S.A.C.</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Peru</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Sweden AB</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comScore Technologies India Private Limited</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UK Ltd</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comScore Worldnet Europe, S.L.U.</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S.L.U.</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Conniaco (Finland) OY</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Finland</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Conniaco (Norway) AS</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Norway</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Conniaco (Sweden) AB</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Conniaco B.V.</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Creative Knowledge, Inc.</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CS Finance BV</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 Worldnet Holding B.V</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CS Worldnet US Holdco LLC</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CSWS, LLC</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Virginia, U.S.A.</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Full Circle Studies, Inc.</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Hollywood Software, Inc.</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California, U.S.A..</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LNKMTR, LLC</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M.Labs, LLC</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Marketscore, Inc.</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PLX Acquisition Corp</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r>
        <w:trPr>
          <w:trHeight w:val="234"/>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Proximic, LLC</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bl>
    <w:p>
      <w:pPr>
        <w:sectPr>
          <w:pgSz w:w="11900" w:h="16838" w:orient="portrait"/>
          <w:cols w:equalWidth="0" w:num="1">
            <w:col w:w="11240"/>
          </w:cols>
          <w:pgMar w:left="320" w:top="144"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Rentrak Argentina SRL</w:t>
            </w:r>
          </w:p>
        </w:tc>
        <w:tc>
          <w:tcPr>
            <w:tcW w:w="4960" w:type="dxa"/>
            <w:vAlign w:val="bottom"/>
            <w:shd w:val="clear" w:color="auto" w:fill="CCEEFF"/>
          </w:tcPr>
          <w:p>
            <w:pPr>
              <w:jc w:val="center"/>
              <w:ind w:left="179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Rentrak Australia Pty Ltd</w:t>
            </w:r>
          </w:p>
        </w:tc>
        <w:tc>
          <w:tcPr>
            <w:tcW w:w="49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Rentrak B.V.</w:t>
            </w:r>
          </w:p>
        </w:tc>
        <w:tc>
          <w:tcPr>
            <w:tcW w:w="4960" w:type="dxa"/>
            <w:vAlign w:val="bottom"/>
            <w:shd w:val="clear" w:color="auto" w:fill="CCEEFF"/>
          </w:tcPr>
          <w:p>
            <w:pPr>
              <w:jc w:val="center"/>
              <w:ind w:left="179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Rentrak Brazil Pesquisa de Mercado SL LTDA</w:t>
            </w:r>
          </w:p>
        </w:tc>
        <w:tc>
          <w:tcPr>
            <w:tcW w:w="49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Rentrak Canada, Inc.</w:t>
            </w:r>
          </w:p>
        </w:tc>
        <w:tc>
          <w:tcPr>
            <w:tcW w:w="496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Rentrak Corporation Mexico, S. de R.L. de C.V.</w:t>
            </w:r>
          </w:p>
        </w:tc>
        <w:tc>
          <w:tcPr>
            <w:tcW w:w="49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Rentrak France EURL</w:t>
            </w:r>
          </w:p>
        </w:tc>
        <w:tc>
          <w:tcPr>
            <w:tcW w:w="4960" w:type="dxa"/>
            <w:vAlign w:val="bottom"/>
            <w:shd w:val="clear" w:color="auto" w:fill="CCEEFF"/>
          </w:tcPr>
          <w:p>
            <w:pPr>
              <w:jc w:val="center"/>
              <w:ind w:left="179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Rentrak Germany GmbH</w:t>
            </w:r>
          </w:p>
        </w:tc>
        <w:tc>
          <w:tcPr>
            <w:tcW w:w="49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Rentrak Holdings UK Limited</w:t>
            </w:r>
          </w:p>
        </w:tc>
        <w:tc>
          <w:tcPr>
            <w:tcW w:w="4960" w:type="dxa"/>
            <w:vAlign w:val="bottom"/>
            <w:shd w:val="clear" w:color="auto" w:fill="CCEEFF"/>
          </w:tcPr>
          <w:p>
            <w:pPr>
              <w:jc w:val="center"/>
              <w:ind w:left="179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Rentrak Latin American Stockholder LLC</w:t>
            </w:r>
          </w:p>
        </w:tc>
        <w:tc>
          <w:tcPr>
            <w:tcW w:w="49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rPr>
              <w:t>Delaware, U.S.A.</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Rentrak Limited</w:t>
            </w:r>
          </w:p>
        </w:tc>
        <w:tc>
          <w:tcPr>
            <w:tcW w:w="4960" w:type="dxa"/>
            <w:vAlign w:val="bottom"/>
            <w:shd w:val="clear" w:color="auto" w:fill="CCEEFF"/>
          </w:tcPr>
          <w:p>
            <w:pPr>
              <w:jc w:val="center"/>
              <w:ind w:left="179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Rentrak Spain, SL</w:t>
            </w:r>
          </w:p>
        </w:tc>
        <w:tc>
          <w:tcPr>
            <w:tcW w:w="49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Rentrak, LLC</w:t>
            </w:r>
          </w:p>
        </w:tc>
        <w:tc>
          <w:tcPr>
            <w:tcW w:w="4960" w:type="dxa"/>
            <w:vAlign w:val="bottom"/>
            <w:shd w:val="clear" w:color="auto" w:fill="CCEEFF"/>
          </w:tcPr>
          <w:p>
            <w:pPr>
              <w:jc w:val="center"/>
              <w:ind w:left="1790"/>
              <w:spacing w:after="0"/>
              <w:rPr>
                <w:sz w:val="20"/>
                <w:szCs w:val="20"/>
                <w:color w:val="auto"/>
              </w:rPr>
            </w:pPr>
            <w:r>
              <w:rPr>
                <w:rFonts w:ascii="Times New Roman" w:cs="Times New Roman" w:eastAsia="Times New Roman" w:hAnsi="Times New Roman"/>
                <w:sz w:val="18"/>
                <w:szCs w:val="18"/>
                <w:color w:val="auto"/>
                <w:w w:val="99"/>
              </w:rPr>
              <w:t>Oregon, U.S.A.</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ScorResearch, LLC</w:t>
            </w:r>
          </w:p>
        </w:tc>
        <w:tc>
          <w:tcPr>
            <w:tcW w:w="49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rPr>
              <w:t>Delaware, U.S.A.</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Shareablee, LLC</w:t>
            </w:r>
          </w:p>
        </w:tc>
        <w:tc>
          <w:tcPr>
            <w:tcW w:w="4960" w:type="dxa"/>
            <w:vAlign w:val="bottom"/>
            <w:shd w:val="clear" w:color="auto" w:fill="CCEEFF"/>
          </w:tcPr>
          <w:p>
            <w:pPr>
              <w:jc w:val="center"/>
              <w:ind w:left="1790"/>
              <w:spacing w:after="0"/>
              <w:rPr>
                <w:sz w:val="20"/>
                <w:szCs w:val="20"/>
                <w:color w:val="auto"/>
              </w:rPr>
            </w:pPr>
            <w:r>
              <w:rPr>
                <w:rFonts w:ascii="Times New Roman" w:cs="Times New Roman" w:eastAsia="Times New Roman" w:hAnsi="Times New Roman"/>
                <w:sz w:val="18"/>
                <w:szCs w:val="18"/>
                <w:color w:val="auto"/>
              </w:rPr>
              <w:t>Delaware, U.S.A.</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 Media Holdco, LLC</w:t>
            </w:r>
          </w:p>
        </w:tc>
        <w:tc>
          <w:tcPr>
            <w:tcW w:w="49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rPr>
              <w:t>Delaware, U.S.A.</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TMRG, Inc.</w:t>
            </w:r>
          </w:p>
        </w:tc>
        <w:tc>
          <w:tcPr>
            <w:tcW w:w="4960" w:type="dxa"/>
            <w:vAlign w:val="bottom"/>
            <w:shd w:val="clear" w:color="auto" w:fill="CCEEFF"/>
          </w:tcPr>
          <w:p>
            <w:pPr>
              <w:jc w:val="center"/>
              <w:ind w:left="1790"/>
              <w:spacing w:after="0"/>
              <w:rPr>
                <w:sz w:val="20"/>
                <w:szCs w:val="20"/>
                <w:color w:val="auto"/>
              </w:rPr>
            </w:pPr>
            <w:r>
              <w:rPr>
                <w:rFonts w:ascii="Times New Roman" w:cs="Times New Roman" w:eastAsia="Times New Roman" w:hAnsi="Times New Roman"/>
                <w:sz w:val="18"/>
                <w:szCs w:val="18"/>
                <w:color w:val="auto"/>
              </w:rPr>
              <w:t>Delaware, U.S.A.</w:t>
            </w:r>
          </w:p>
        </w:tc>
      </w:tr>
      <w:tr>
        <w:trPr>
          <w:trHeight w:val="23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Voicefive, Inc.</w:t>
            </w:r>
          </w:p>
        </w:tc>
        <w:tc>
          <w:tcPr>
            <w:tcW w:w="49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rPr>
              <w:t>Delaware, U.S.A.</w:t>
            </w:r>
          </w:p>
        </w:tc>
      </w:tr>
    </w:tbl>
    <w:p>
      <w:pPr>
        <w:sectPr>
          <w:pgSz w:w="11900" w:h="16838" w:orient="portrait"/>
          <w:cols w:equalWidth="0" w:num="1">
            <w:col w:w="11240"/>
          </w:cols>
          <w:pgMar w:left="320" w:top="144"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48"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333-231778, 333-226246, and 333-259181 on Form S-3, and Registration Statement Nos. 333-144281, 333-155355, 333-159126, 333-166349, 333-172838, 333-179625, 333-186764, 333-194010, 333-202221, 333-209310, 333-225400, 333-239931, 333-261890, 333-265922, 333-273054, and 333-280562 on Form S-8 of our reports dated March 6, 2025, relating to the financial statements of comScore, Inc. and subsidiaries (the “Company”) and the effectiveness of the Company’s internal control over financial reporting appearing in this Annual Report on Form 10-K for the year ended December 31, 2024.</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rPr>
          <w:sz w:val="20"/>
          <w:szCs w:val="20"/>
          <w:color w:val="auto"/>
        </w:rPr>
      </w:pPr>
      <w:r>
        <w:rPr>
          <w:rFonts w:ascii="Times New Roman" w:cs="Times New Roman" w:eastAsia="Times New Roman" w:hAnsi="Times New Roman"/>
          <w:sz w:val="18"/>
          <w:szCs w:val="18"/>
          <w:color w:val="auto"/>
        </w:rPr>
        <w:t>March 6, 2025</w:t>
      </w:r>
    </w:p>
    <w:p>
      <w:pPr>
        <w:sectPr>
          <w:pgSz w:w="11900" w:h="16838" w:orient="portrait"/>
          <w:cols w:equalWidth="0" w:num="1">
            <w:col w:w="11160"/>
          </w:cols>
          <w:pgMar w:left="400" w:top="104"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Carpenter, certify that:</w:t>
      </w:r>
    </w:p>
    <w:p>
      <w:pPr>
        <w:spacing w:after="0" w:line="225" w:lineRule="exact"/>
        <w:rPr>
          <w:sz w:val="20"/>
          <w:szCs w:val="20"/>
          <w:color w:val="auto"/>
        </w:rPr>
      </w:pPr>
    </w:p>
    <w:p>
      <w:pPr>
        <w:ind w:left="640" w:hanging="187"/>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comScore, Inc.;</w:t>
      </w:r>
    </w:p>
    <w:p>
      <w:pPr>
        <w:spacing w:after="0" w:line="225"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453"/>
        <w:spacing w:after="0" w:line="266" w:lineRule="auto"/>
        <w:tabs>
          <w:tab w:leader="none" w:pos="63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453"/>
        <w:spacing w:after="0" w:line="266" w:lineRule="auto"/>
        <w:tabs>
          <w:tab w:leader="none" w:pos="70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453"/>
        <w:spacing w:after="0" w:line="266" w:lineRule="auto"/>
        <w:tabs>
          <w:tab w:leader="none" w:pos="7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453"/>
        <w:spacing w:after="0" w:line="282" w:lineRule="auto"/>
        <w:tabs>
          <w:tab w:leader="none" w:pos="73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453"/>
        <w:spacing w:after="0" w:line="266" w:lineRule="auto"/>
        <w:tabs>
          <w:tab w:leader="none" w:pos="71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453"/>
        <w:spacing w:after="0" w:line="282" w:lineRule="auto"/>
        <w:tabs>
          <w:tab w:leader="none" w:pos="63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453"/>
        <w:spacing w:after="0" w:line="282" w:lineRule="auto"/>
        <w:tabs>
          <w:tab w:leader="none" w:pos="70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413"/>
        <w:spacing w:after="0" w:line="282" w:lineRule="auto"/>
        <w:tabs>
          <w:tab w:leader="none" w:pos="67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Jonathan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002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4">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Jonathan Carpenter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2025</w:t>
      </w:r>
    </w:p>
    <w:p>
      <w:pPr>
        <w:sectPr>
          <w:pgSz w:w="11900" w:h="16838" w:orient="portrait"/>
          <w:cols w:equalWidth="0" w:num="1">
            <w:col w:w="11240"/>
          </w:cols>
          <w:pgMar w:left="320" w:top="1130"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Margaret Curry, certify that:</w:t>
      </w:r>
    </w:p>
    <w:p>
      <w:pPr>
        <w:spacing w:after="0" w:line="225" w:lineRule="exact"/>
        <w:rPr>
          <w:sz w:val="20"/>
          <w:szCs w:val="20"/>
          <w:color w:val="auto"/>
        </w:rPr>
      </w:pPr>
    </w:p>
    <w:p>
      <w:pPr>
        <w:ind w:left="640" w:hanging="187"/>
        <w:spacing w:after="0"/>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comScore, Inc.;</w:t>
      </w:r>
    </w:p>
    <w:p>
      <w:pPr>
        <w:spacing w:after="0" w:line="225"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453"/>
        <w:spacing w:after="0" w:line="266" w:lineRule="auto"/>
        <w:tabs>
          <w:tab w:leader="none" w:pos="63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453"/>
        <w:spacing w:after="0" w:line="266" w:lineRule="auto"/>
        <w:tabs>
          <w:tab w:leader="none" w:pos="70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453"/>
        <w:spacing w:after="0" w:line="266" w:lineRule="auto"/>
        <w:tabs>
          <w:tab w:leader="none" w:pos="73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453"/>
        <w:spacing w:after="0" w:line="282" w:lineRule="auto"/>
        <w:tabs>
          <w:tab w:leader="none" w:pos="73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453"/>
        <w:spacing w:after="0" w:line="266" w:lineRule="auto"/>
        <w:tabs>
          <w:tab w:leader="none" w:pos="71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453"/>
        <w:spacing w:after="0" w:line="282" w:lineRule="auto"/>
        <w:tabs>
          <w:tab w:leader="none" w:pos="63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453"/>
        <w:spacing w:after="0" w:line="282" w:lineRule="auto"/>
        <w:tabs>
          <w:tab w:leader="none" w:pos="70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40" w:firstLine="413"/>
        <w:spacing w:after="0" w:line="282"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Margaret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5">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Mary Margaret Curry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2025</w:t>
      </w:r>
    </w:p>
    <w:p>
      <w:pPr>
        <w:sectPr>
          <w:pgSz w:w="11900" w:h="16838" w:orient="portrait"/>
          <w:cols w:equalWidth="0" w:num="1">
            <w:col w:w="11240"/>
          </w:cols>
          <w:pgMar w:left="320" w:top="117"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comScore, Inc. (the "Company") on Form 10-K for the year ended December 31, 2024, as filed with the Securities and Exchange Commission (the "SEC") on the date hereof (the "Report"), I, Jonathan Carpenter, Chief Executive Officer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700" w:hanging="247"/>
        <w:spacing w:after="0"/>
        <w:tabs>
          <w:tab w:leader="none" w:pos="7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Jonathan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002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6">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Jonathan Carpenter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2025</w:t>
      </w:r>
    </w:p>
    <w:p>
      <w:pPr>
        <w:sectPr>
          <w:pgSz w:w="11900" w:h="16838" w:orient="portrait"/>
          <w:cols w:equalWidth="0" w:num="1">
            <w:col w:w="11240"/>
          </w:cols>
          <w:pgMar w:left="320" w:top="117"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comScore, Inc. (the "Company") on Form 10-K for the year ended December 31, 2024, as filed with the Securities and Exchange Commission (the "SEC") on the date hereof (the "Report"), I, Mary Margaret Curry, Chief Financial Officer and Treasurer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700" w:hanging="247"/>
        <w:spacing w:after="0"/>
        <w:tabs>
          <w:tab w:leader="none" w:pos="7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Margaret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143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Mary Margaret Curry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1)"/>
      <w:numFmt w:val="lowerRoman"/>
      <w:start w:val="7"/>
    </w:lvl>
  </w:abstractNum>
  <w:abstractNum w:abstractNumId="27">
    <w:nsid w:val="1381823A"/>
    <w:multiLevelType w:val="hybridMultilevel"/>
    <w:lvl w:ilvl="0">
      <w:lvlJc w:val="left"/>
      <w:lvlText w:val="•"/>
      <w:numFmt w:val="bullet"/>
      <w:start w:val="1"/>
    </w:lvl>
    <w:lvl w:ilvl="1">
      <w:lvlJc w:val="left"/>
      <w:lvlText w:val="◦"/>
      <w:numFmt w:val="bullet"/>
      <w:start w:val="1"/>
    </w:lvl>
  </w:abstractNum>
  <w:abstractNum w:abstractNumId="28">
    <w:nsid w:val="5DB70AE5"/>
    <w:multiLevelType w:val="hybridMultilevel"/>
    <w:lvl w:ilvl="0">
      <w:lvlJc w:val="left"/>
      <w:lvlText w:val="•"/>
      <w:numFmt w:val="bullet"/>
      <w:start w:val="1"/>
    </w:lvl>
    <w:lvl w:ilvl="1">
      <w:lvlJc w:val="left"/>
      <w:lvlText w:val="◦"/>
      <w:numFmt w:val="bullet"/>
      <w:start w:val="1"/>
    </w:lvl>
  </w:abstractNum>
  <w:abstractNum w:abstractNumId="29">
    <w:nsid w:val="100F8FCA"/>
    <w:multiLevelType w:val="hybridMultilevel"/>
    <w:lvl w:ilvl="0">
      <w:lvlJc w:val="left"/>
      <w:lvlText w:val="(%1)"/>
      <w:numFmt w:val="decimal"/>
      <w:start w:val="1"/>
    </w:lvl>
  </w:abstractNum>
  <w:abstractNum w:abstractNumId="30">
    <w:nsid w:val="6590700B"/>
    <w:multiLevelType w:val="hybridMultilevel"/>
    <w:lvl w:ilvl="0">
      <w:lvlJc w:val="left"/>
      <w:lvlText w:val="(%1)"/>
      <w:numFmt w:val="decimal"/>
      <w:start w:val="2"/>
    </w:lvl>
  </w:abstractNum>
  <w:abstractNum w:abstractNumId="31">
    <w:nsid w:val="15014ACB"/>
    <w:multiLevelType w:val="hybridMultilevel"/>
    <w:lvl w:ilvl="0">
      <w:lvlJc w:val="left"/>
      <w:lvlText w:val="(%1)"/>
      <w:numFmt w:val="decimal"/>
      <w:start w:val="4"/>
    </w:lvl>
  </w:abstractNum>
  <w:abstractNum w:abstractNumId="32">
    <w:nsid w:val="5F5E7FD0"/>
    <w:multiLevelType w:val="hybridMultilevel"/>
    <w:lvl w:ilvl="0">
      <w:lvlJc w:val="left"/>
      <w:lvlText w:val="(%1)"/>
      <w:numFmt w:val="decimal"/>
      <w:start w:val="1"/>
    </w:lvl>
  </w:abstractNum>
  <w:abstractNum w:abstractNumId="33">
    <w:nsid w:val="98A3148"/>
    <w:multiLevelType w:val="hybridMultilevel"/>
    <w:lvl w:ilvl="0">
      <w:lvlJc w:val="left"/>
      <w:lvlText w:val="(%1)"/>
      <w:numFmt w:val="decimal"/>
      <w:start w:val="1"/>
    </w:lvl>
  </w:abstractNum>
  <w:abstractNum w:abstractNumId="34">
    <w:nsid w:val="799D0247"/>
    <w:multiLevelType w:val="hybridMultilevel"/>
    <w:lvl w:ilvl="0">
      <w:lvlJc w:val="left"/>
      <w:lvlText w:val="%1."/>
      <w:numFmt w:val="decimal"/>
      <w:start w:val="1"/>
    </w:lvl>
  </w:abstractNum>
  <w:abstractNum w:abstractNumId="35">
    <w:nsid w:val="6B94764"/>
    <w:multiLevelType w:val="hybridMultilevel"/>
    <w:lvl w:ilvl="0">
      <w:lvlJc w:val="left"/>
      <w:lvlText w:val="%1."/>
      <w:numFmt w:val="decimal"/>
      <w:start w:val="2"/>
    </w:lvl>
  </w:abstractNum>
  <w:abstractNum w:abstractNumId="36">
    <w:nsid w:val="42C296BD"/>
    <w:multiLevelType w:val="hybridMultilevel"/>
    <w:lvl w:ilvl="0">
      <w:lvlJc w:val="left"/>
      <w:lvlText w:val="(%1)"/>
      <w:numFmt w:val="decimal"/>
      <w:start w:val="1"/>
    </w:lvl>
  </w:abstractNum>
  <w:abstractNum w:abstractNumId="37">
    <w:nsid w:val="168E121F"/>
    <w:multiLevelType w:val="hybridMultilevel"/>
    <w:lvl w:ilvl="0">
      <w:lvlJc w:val="left"/>
      <w:lvlText w:val="%1."/>
      <w:numFmt w:val="decimal"/>
      <w:start w:val="3"/>
    </w:lvl>
  </w:abstractNum>
  <w:abstractNum w:abstractNumId="38">
    <w:nsid w:val="1EBA5D23"/>
    <w:multiLevelType w:val="hybridMultilevel"/>
    <w:lvl w:ilvl="0">
      <w:lvlJc w:val="left"/>
      <w:lvlText w:val="%1."/>
      <w:numFmt w:val="decimal"/>
      <w:start w:val="4"/>
    </w:lvl>
  </w:abstractNum>
  <w:abstractNum w:abstractNumId="39">
    <w:nsid w:val="661E3F1E"/>
    <w:multiLevelType w:val="hybridMultilevel"/>
    <w:lvl w:ilvl="0">
      <w:lvlJc w:val="left"/>
      <w:lvlText w:val="(%1)"/>
      <w:numFmt w:val="decimal"/>
      <w:start w:val="1"/>
    </w:lvl>
  </w:abstractNum>
  <w:abstractNum w:abstractNumId="40">
    <w:nsid w:val="5DC79EA8"/>
    <w:multiLevelType w:val="hybridMultilevel"/>
    <w:lvl w:ilvl="0">
      <w:lvlJc w:val="left"/>
      <w:lvlText w:val="%1."/>
      <w:numFmt w:val="decimal"/>
      <w:start w:val="5"/>
    </w:lvl>
  </w:abstractNum>
  <w:abstractNum w:abstractNumId="41">
    <w:nsid w:val="540A471C"/>
    <w:multiLevelType w:val="hybridMultilevel"/>
    <w:lvl w:ilvl="0">
      <w:lvlJc w:val="left"/>
      <w:lvlText w:val="(%1)"/>
      <w:numFmt w:val="lowerRoman"/>
      <w:start w:val="2"/>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1)"/>
      <w:numFmt w:val="decimal"/>
      <w:start w:val="1"/>
    </w:lvl>
  </w:abstractNum>
  <w:abstractNum w:abstractNumId="44">
    <w:nsid w:val="613EFDC5"/>
    <w:multiLevelType w:val="hybridMultilevel"/>
    <w:lvl w:ilvl="0">
      <w:lvlJc w:val="left"/>
      <w:lvlText w:val="(%1)"/>
      <w:numFmt w:val="lowerRoman"/>
      <w:start w:val="2"/>
    </w:lvl>
  </w:abstractNum>
  <w:abstractNum w:abstractNumId="45">
    <w:nsid w:val="BF72B14"/>
    <w:multiLevelType w:val="hybridMultilevel"/>
    <w:lvl w:ilvl="0">
      <w:lvlJc w:val="left"/>
      <w:lvlText w:val="%1."/>
      <w:numFmt w:val="decimal"/>
      <w:start w:val="6"/>
    </w:lvl>
  </w:abstractNum>
  <w:abstractNum w:abstractNumId="46">
    <w:nsid w:val="11447B73"/>
    <w:multiLevelType w:val="hybridMultilevel"/>
    <w:lvl w:ilvl="0">
      <w:lvlJc w:val="left"/>
      <w:lvlText w:val="(%1)"/>
      <w:numFmt w:val="decimal"/>
      <w:start w:val="1"/>
    </w:lvl>
  </w:abstractNum>
  <w:abstractNum w:abstractNumId="47">
    <w:nsid w:val="42963E5A"/>
    <w:multiLevelType w:val="hybridMultilevel"/>
    <w:lvl w:ilvl="0">
      <w:lvlJc w:val="left"/>
      <w:lvlText w:val="(%1)"/>
      <w:numFmt w:val="decimal"/>
      <w:start w:val="1"/>
    </w:lvl>
  </w:abstractNum>
  <w:abstractNum w:abstractNumId="48">
    <w:nsid w:val="A0382C5"/>
    <w:multiLevelType w:val="hybridMultilevel"/>
    <w:lvl w:ilvl="0">
      <w:lvlJc w:val="left"/>
      <w:lvlText w:val="%1."/>
      <w:numFmt w:val="decimal"/>
      <w:start w:val="8"/>
    </w:lvl>
  </w:abstractNum>
  <w:abstractNum w:abstractNumId="49">
    <w:nsid w:val="8F2B15E"/>
    <w:multiLevelType w:val="hybridMultilevel"/>
    <w:lvl w:ilvl="0">
      <w:lvlJc w:val="left"/>
      <w:lvlText w:val="%1."/>
      <w:numFmt w:val="decimal"/>
      <w:start w:val="9"/>
    </w:lvl>
  </w:abstractNum>
  <w:abstractNum w:abstractNumId="50">
    <w:nsid w:val="1A32234B"/>
    <w:multiLevelType w:val="hybridMultilevel"/>
    <w:lvl w:ilvl="0">
      <w:lvlJc w:val="left"/>
      <w:lvlText w:val="(%1)"/>
      <w:numFmt w:val="decimal"/>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1)"/>
      <w:numFmt w:val="lowerLetter"/>
      <w:start w:val="1"/>
    </w:lvl>
  </w:abstractNum>
  <w:abstractNum w:abstractNumId="55">
    <w:nsid w:val="6A5EE64"/>
    <w:multiLevelType w:val="hybridMultilevel"/>
    <w:lvl w:ilvl="0">
      <w:lvlJc w:val="left"/>
      <w:lvlText w:val="(%1)"/>
      <w:numFmt w:val="lowerLetter"/>
      <w:start w:val="1"/>
    </w:lvl>
    <w:lvl w:ilvl="1">
      <w:lvlJc w:val="left"/>
      <w:lvlText w:val="(%2)"/>
      <w:numFmt w:val="decimal"/>
      <w:start w:val="1"/>
    </w:lvl>
  </w:abstractNum>
  <w:abstractNum w:abstractNumId="56">
    <w:nsid w:val="14330624"/>
    <w:multiLevelType w:val="hybridMultilevel"/>
    <w:lvl w:ilvl="0">
      <w:lvlJc w:val="left"/>
      <w:lvlText w:val="%1"/>
      <w:numFmt w:val="decimal"/>
      <w:start w:val="104"/>
    </w:lvl>
    <w:lvl w:ilvl="1">
      <w:lvlJc w:val="left"/>
      <w:lvlText w:val="*"/>
      <w:numFmt w:val="bullet"/>
      <w:start w:val="1"/>
    </w:lvl>
  </w:abstractNum>
  <w:abstractNum w:abstractNumId="57">
    <w:nsid w:val="7FFFCA11"/>
    <w:multiLevelType w:val="hybridMultilevel"/>
    <w:lvl w:ilvl="0">
      <w:lvlJc w:val="left"/>
      <w:lvlText w:val="•"/>
      <w:numFmt w:val="bullet"/>
      <w:start w:val="1"/>
    </w:lvl>
  </w:abstractNum>
  <w:abstractNum w:abstractNumId="58">
    <w:nsid w:val="1A27709E"/>
    <w:multiLevelType w:val="hybridMultilevel"/>
    <w:lvl w:ilvl="0">
      <w:lvlJc w:val="left"/>
      <w:lvlText w:val="•"/>
      <w:numFmt w:val="bullet"/>
      <w:start w:val="1"/>
    </w:lvl>
  </w:abstractNum>
  <w:abstractNum w:abstractNumId="59">
    <w:nsid w:val="71EA1109"/>
    <w:multiLevelType w:val="hybridMultilevel"/>
    <w:lvl w:ilvl="0">
      <w:lvlJc w:val="left"/>
      <w:lvlText w:val="•"/>
      <w:numFmt w:val="bullet"/>
      <w:start w:val="1"/>
    </w:lvl>
  </w:abstractNum>
  <w:abstractNum w:abstractNumId="60">
    <w:nsid w:val="100F59DC"/>
    <w:multiLevelType w:val="hybridMultilevel"/>
    <w:lvl w:ilvl="0">
      <w:lvlJc w:val="left"/>
      <w:lvlText w:val="•"/>
      <w:numFmt w:val="bullet"/>
      <w:start w:val="1"/>
    </w:lvl>
  </w:abstractNum>
  <w:abstractNum w:abstractNumId="61">
    <w:nsid w:val="7FB7E0AA"/>
    <w:multiLevelType w:val="hybridMultilevel"/>
    <w:lvl w:ilvl="0">
      <w:lvlJc w:val="left"/>
      <w:lvlText w:val="•"/>
      <w:numFmt w:val="bullet"/>
      <w:start w:val="1"/>
    </w:lvl>
  </w:abstractNum>
  <w:abstractNum w:abstractNumId="62">
    <w:nsid w:val="6EB5BD4"/>
    <w:multiLevelType w:val="hybridMultilevel"/>
    <w:lvl w:ilvl="0">
      <w:lvlJc w:val="left"/>
      <w:lvlText w:val="•"/>
      <w:numFmt w:val="bullet"/>
      <w:start w:val="1"/>
    </w:lvl>
  </w:abstractNum>
  <w:abstractNum w:abstractNumId="63">
    <w:nsid w:val="6F6DD9AC"/>
    <w:multiLevelType w:val="hybridMultilevel"/>
    <w:lvl w:ilvl="0">
      <w:lvlJc w:val="left"/>
      <w:lvlText w:val="%1."/>
      <w:numFmt w:val="decimal"/>
      <w:start w:val="1"/>
    </w:lvl>
  </w:abstractNum>
  <w:abstractNum w:abstractNumId="64">
    <w:nsid w:val="94211F2"/>
    <w:multiLevelType w:val="hybridMultilevel"/>
    <w:lvl w:ilvl="0">
      <w:lvlJc w:val="left"/>
      <w:lvlText w:val="(%1)"/>
      <w:numFmt w:val="lowerLetter"/>
      <w:start w:val="1"/>
    </w:lvl>
  </w:abstractNum>
  <w:abstractNum w:abstractNumId="65">
    <w:nsid w:val="885E1B"/>
    <w:multiLevelType w:val="hybridMultilevel"/>
    <w:lvl w:ilvl="0">
      <w:lvlJc w:val="left"/>
      <w:lvlText w:val="(%1)"/>
      <w:numFmt w:val="lowerLetter"/>
      <w:start w:val="3"/>
    </w:lvl>
  </w:abstractNum>
  <w:abstractNum w:abstractNumId="66">
    <w:nsid w:val="76272110"/>
    <w:multiLevelType w:val="hybridMultilevel"/>
    <w:lvl w:ilvl="0">
      <w:lvlJc w:val="left"/>
      <w:lvlText w:val="%1."/>
      <w:numFmt w:val="decimal"/>
      <w:start w:val="2"/>
    </w:lvl>
  </w:abstractNum>
  <w:abstractNum w:abstractNumId="67">
    <w:nsid w:val="4C04A8AF"/>
    <w:multiLevelType w:val="hybridMultilevel"/>
    <w:lvl w:ilvl="0">
      <w:lvlJc w:val="left"/>
      <w:lvlText w:val="(%1)"/>
      <w:numFmt w:val="lowerLetter"/>
      <w:start w:val="1"/>
    </w:lvl>
    <w:lvl w:ilvl="1">
      <w:lvlJc w:val="left"/>
      <w:lvlText w:val="(%2)"/>
      <w:numFmt w:val="lowerRoman"/>
      <w:start w:val="1"/>
    </w:lvl>
  </w:abstractNum>
  <w:abstractNum w:abstractNumId="68">
    <w:nsid w:val="1716703B"/>
    <w:multiLevelType w:val="hybridMultilevel"/>
    <w:lvl w:ilvl="0">
      <w:lvlJc w:val="left"/>
      <w:lvlText w:val="(%1)"/>
      <w:numFmt w:val="lowerRoman"/>
      <w:start w:val="3"/>
    </w:lvl>
  </w:abstractNum>
  <w:abstractNum w:abstractNumId="69">
    <w:nsid w:val="14E17E33"/>
    <w:multiLevelType w:val="hybridMultilevel"/>
    <w:lvl w:ilvl="0">
      <w:lvlJc w:val="left"/>
      <w:lvlText w:val="(%1)"/>
      <w:numFmt w:val="lowerLetter"/>
      <w:start w:val="2"/>
    </w:lvl>
  </w:abstractNum>
  <w:abstractNum w:abstractNumId="70">
    <w:nsid w:val="3222E7CD"/>
    <w:multiLevelType w:val="hybridMultilevel"/>
    <w:lvl w:ilvl="0">
      <w:lvlJc w:val="left"/>
      <w:lvlText w:val="%1."/>
      <w:numFmt w:val="decimal"/>
      <w:start w:val="3"/>
    </w:lvl>
  </w:abstractNum>
  <w:abstractNum w:abstractNumId="71">
    <w:nsid w:val="74DE0EE3"/>
    <w:multiLevelType w:val="hybridMultilevel"/>
    <w:lvl w:ilvl="0">
      <w:lvlJc w:val="left"/>
      <w:lvlText w:val="(%1)"/>
      <w:numFmt w:val="lowerLetter"/>
      <w:start w:val="1"/>
    </w:lvl>
  </w:abstractNum>
  <w:abstractNum w:abstractNumId="72">
    <w:nsid w:val="68EBC550"/>
    <w:multiLevelType w:val="hybridMultilevel"/>
    <w:lvl w:ilvl="0">
      <w:lvlJc w:val="left"/>
      <w:lvlText w:val="(%1)"/>
      <w:numFmt w:val="upperLetter"/>
      <w:start w:val="12"/>
    </w:lvl>
    <w:lvl w:ilvl="1">
      <w:lvlJc w:val="left"/>
      <w:lvlText w:val="(%2)"/>
      <w:numFmt w:val="lowerLetter"/>
      <w:start w:val="2"/>
    </w:lvl>
  </w:abstractNum>
  <w:abstractNum w:abstractNumId="73">
    <w:nsid w:val="2DF6D648"/>
    <w:multiLevelType w:val="hybridMultilevel"/>
    <w:lvl w:ilvl="0">
      <w:lvlJc w:val="left"/>
      <w:lvlText w:val="%1."/>
      <w:numFmt w:val="decimal"/>
      <w:start w:val="6"/>
    </w:lvl>
  </w:abstractNum>
  <w:abstractNum w:abstractNumId="74">
    <w:nsid w:val="46B7D447"/>
    <w:multiLevelType w:val="hybridMultilevel"/>
    <w:lvl w:ilvl="0">
      <w:lvlJc w:val="left"/>
      <w:lvlText w:val="(%1)"/>
      <w:numFmt w:val="lowerLetter"/>
      <w:start w:val="1"/>
    </w:lvl>
  </w:abstractNum>
  <w:abstractNum w:abstractNumId="75">
    <w:nsid w:val="4A2AC315"/>
    <w:multiLevelType w:val="hybridMultilevel"/>
    <w:lvl w:ilvl="0">
      <w:lvlJc w:val="left"/>
      <w:lvlText w:val="(%1)"/>
      <w:numFmt w:val="lowerLetter"/>
      <w:start w:val="5"/>
    </w:lvl>
  </w:abstractNum>
  <w:abstractNum w:abstractNumId="76">
    <w:nsid w:val="39EE015C"/>
    <w:multiLevelType w:val="hybridMultilevel"/>
    <w:lvl w:ilvl="0">
      <w:lvlJc w:val="left"/>
      <w:lvlText w:val="%1."/>
      <w:numFmt w:val="decimal"/>
      <w:start w:val="8"/>
    </w:lvl>
  </w:abstractNum>
  <w:abstractNum w:abstractNumId="77">
    <w:nsid w:val="57FC4FBB"/>
    <w:multiLevelType w:val="hybridMultilevel"/>
    <w:lvl w:ilvl="0">
      <w:lvlJc w:val="left"/>
      <w:lvlText w:val="%1."/>
      <w:numFmt w:val="decimal"/>
      <w:start w:val="11"/>
    </w:lvl>
  </w:abstractNum>
  <w:abstractNum w:abstractNumId="78">
    <w:nsid w:val="CC1016F"/>
    <w:multiLevelType w:val="hybridMultilevel"/>
    <w:lvl w:ilvl="0">
      <w:lvlJc w:val="left"/>
      <w:lvlText w:val="%1."/>
      <w:numFmt w:val="decimal"/>
      <w:start w:val="17"/>
    </w:lvl>
  </w:abstractNum>
  <w:abstractNum w:abstractNumId="79">
    <w:nsid w:val="43F18422"/>
    <w:multiLevelType w:val="hybridMultilevel"/>
    <w:lvl w:ilvl="0">
      <w:lvlJc w:val="left"/>
      <w:lvlText w:val="(%1)"/>
      <w:numFmt w:val="lowerLetter"/>
      <w:start w:val="1"/>
    </w:lvl>
    <w:lvl w:ilvl="1">
      <w:lvlJc w:val="left"/>
      <w:lvlText w:val="(%2)"/>
      <w:numFmt w:val="lowerRoman"/>
      <w:start w:val="1"/>
    </w:lvl>
  </w:abstractNum>
  <w:abstractNum w:abstractNumId="80">
    <w:nsid w:val="60EF0119"/>
    <w:multiLevelType w:val="hybridMultilevel"/>
    <w:lvl w:ilvl="0">
      <w:lvlJc w:val="left"/>
      <w:lvlText w:val="(%1)"/>
      <w:numFmt w:val="lowerLetter"/>
      <w:start w:val="2"/>
    </w:lvl>
  </w:abstractNum>
  <w:abstractNum w:abstractNumId="81">
    <w:nsid w:val="26F324BA"/>
    <w:multiLevelType w:val="hybridMultilevel"/>
    <w:lvl w:ilvl="0">
      <w:lvlJc w:val="left"/>
      <w:lvlText w:val="%1."/>
      <w:numFmt w:val="decimal"/>
      <w:start w:val="19"/>
    </w:lvl>
  </w:abstractNum>
  <w:abstractNum w:abstractNumId="82">
    <w:nsid w:val="7F01579B"/>
    <w:multiLevelType w:val="hybridMultilevel"/>
    <w:lvl w:ilvl="0">
      <w:lvlJc w:val="left"/>
      <w:lvlText w:val="(%1)"/>
      <w:numFmt w:val="lowerLetter"/>
      <w:start w:val="1"/>
    </w:lvl>
  </w:abstractNum>
  <w:abstractNum w:abstractNumId="83">
    <w:nsid w:val="49DA307D"/>
    <w:multiLevelType w:val="hybridMultilevel"/>
    <w:lvl w:ilvl="0">
      <w:lvlJc w:val="left"/>
      <w:lvlText w:val="(%1)"/>
      <w:numFmt w:val="lowerLetter"/>
      <w:start w:val="3"/>
    </w:lvl>
  </w:abstractNum>
  <w:abstractNum w:abstractNumId="84">
    <w:nsid w:val="7055A5F5"/>
    <w:multiLevelType w:val="hybridMultilevel"/>
    <w:lvl w:ilvl="0">
      <w:lvlJc w:val="left"/>
      <w:lvlText w:val="%1."/>
      <w:numFmt w:val="decimal"/>
      <w:start w:val="20"/>
    </w:lvl>
  </w:abstractNum>
  <w:abstractNum w:abstractNumId="85">
    <w:nsid w:val="5FB8370B"/>
    <w:multiLevelType w:val="hybridMultilevel"/>
    <w:lvl w:ilvl="0">
      <w:lvlJc w:val="left"/>
      <w:lvlText w:val="%1."/>
      <w:numFmt w:val="decimal"/>
      <w:start w:val="1"/>
    </w:lvl>
  </w:abstractNum>
  <w:abstractNum w:abstractNumId="86">
    <w:nsid w:val="50801EE1"/>
    <w:multiLevelType w:val="hybridMultilevel"/>
    <w:lvl w:ilvl="0">
      <w:lvlJc w:val="left"/>
      <w:lvlText w:val="%1"/>
      <w:numFmt w:val="upperLetter"/>
      <w:start w:val="1"/>
    </w:lvl>
    <w:lvl w:ilvl="1">
      <w:lvlJc w:val="left"/>
      <w:lvlText w:val="(%2)"/>
      <w:numFmt w:val="lowerLetter"/>
      <w:start w:val="1"/>
    </w:lvl>
  </w:abstractNum>
  <w:abstractNum w:abstractNumId="87">
    <w:nsid w:val="488AC1A"/>
    <w:multiLevelType w:val="hybridMultilevel"/>
    <w:lvl w:ilvl="0">
      <w:lvlJc w:val="left"/>
      <w:lvlText w:val="(%1)"/>
      <w:numFmt w:val="upperLetter"/>
      <w:start w:val="12"/>
    </w:lvl>
    <w:lvl w:ilvl="1">
      <w:lvlJc w:val="left"/>
      <w:lvlText w:val="%2"/>
      <w:numFmt w:val="lowerLetter"/>
      <w:start w:val="1"/>
    </w:lvl>
  </w:abstractNum>
  <w:abstractNum w:abstractNumId="88">
    <w:nsid w:val="5FB8011C"/>
    <w:multiLevelType w:val="hybridMultilevel"/>
    <w:lvl w:ilvl="0">
      <w:lvlJc w:val="left"/>
      <w:lvlText w:val="(%1)"/>
      <w:numFmt w:val="upperLetter"/>
      <w:start w:val="15"/>
    </w:lvl>
    <w:lvl w:ilvl="1">
      <w:lvlJc w:val="left"/>
      <w:lvlText w:val="(%2)"/>
      <w:numFmt w:val="lowerLetter"/>
      <w:start w:val="2"/>
    </w:lvl>
  </w:abstractNum>
  <w:abstractNum w:abstractNumId="89">
    <w:nsid w:val="6AA78F7F"/>
    <w:multiLevelType w:val="hybridMultilevel"/>
    <w:lvl w:ilvl="0">
      <w:lvlJc w:val="left"/>
      <w:lvlText w:val="%1."/>
      <w:numFmt w:val="decimal"/>
      <w:start w:val="2"/>
    </w:lvl>
  </w:abstractNum>
  <w:abstractNum w:abstractNumId="90">
    <w:nsid w:val="7672BD23"/>
    <w:multiLevelType w:val="hybridMultilevel"/>
    <w:lvl w:ilvl="0">
      <w:lvlJc w:val="left"/>
      <w:lvlText w:val="(%1)"/>
      <w:numFmt w:val="lowerLetter"/>
      <w:start w:val="1"/>
    </w:lvl>
  </w:abstractNum>
  <w:abstractNum w:abstractNumId="91">
    <w:nsid w:val="6FC75AF8"/>
    <w:multiLevelType w:val="hybridMultilevel"/>
    <w:lvl w:ilvl="0">
      <w:lvlJc w:val="left"/>
      <w:lvlText w:val="(%1)"/>
      <w:numFmt w:val="lowerLetter"/>
      <w:start w:val="3"/>
    </w:lvl>
  </w:abstractNum>
  <w:abstractNum w:abstractNumId="92">
    <w:nsid w:val="6A5F7029"/>
    <w:multiLevelType w:val="hybridMultilevel"/>
    <w:lvl w:ilvl="0">
      <w:lvlJc w:val="left"/>
      <w:lvlText w:val="%1."/>
      <w:numFmt w:val="decimal"/>
      <w:start w:val="5"/>
    </w:lvl>
  </w:abstractNum>
  <w:abstractNum w:abstractNumId="93">
    <w:nsid w:val="7D5E18F8"/>
    <w:multiLevelType w:val="hybridMultilevel"/>
    <w:lvl w:ilvl="0">
      <w:lvlJc w:val="left"/>
      <w:lvlText w:val="%1."/>
      <w:numFmt w:val="decimal"/>
      <w:start w:val="1"/>
    </w:lvl>
  </w:abstractNum>
  <w:abstractNum w:abstractNumId="94">
    <w:nsid w:val="5F3534A4"/>
    <w:multiLevelType w:val="hybridMultilevel"/>
    <w:lvl w:ilvl="0">
      <w:lvlJc w:val="left"/>
      <w:lvlText w:val="•"/>
      <w:numFmt w:val="bullet"/>
      <w:start w:val="1"/>
    </w:lvl>
  </w:abstractNum>
  <w:abstractNum w:abstractNumId="95">
    <w:nsid w:val="73A1821B"/>
    <w:multiLevelType w:val="hybridMultilevel"/>
    <w:lvl w:ilvl="0">
      <w:lvlJc w:val="left"/>
      <w:lvlText w:val="%1."/>
      <w:numFmt w:val="decimal"/>
      <w:start w:val="1"/>
    </w:lvl>
  </w:abstractNum>
  <w:abstractNum w:abstractNumId="96">
    <w:nsid w:val="7DE67713"/>
    <w:multiLevelType w:val="hybridMultilevel"/>
    <w:lvl w:ilvl="0">
      <w:lvlJc w:val="left"/>
      <w:lvlText w:val="(%1)"/>
      <w:numFmt w:val="lowerLetter"/>
      <w:start w:val="1"/>
    </w:lvl>
  </w:abstractNum>
  <w:abstractNum w:abstractNumId="97">
    <w:nsid w:val="555C55B5"/>
    <w:multiLevelType w:val="hybridMultilevel"/>
    <w:lvl w:ilvl="0">
      <w:lvlJc w:val="left"/>
      <w:lvlText w:val="%1."/>
      <w:numFmt w:val="decimal"/>
      <w:start w:val="5"/>
    </w:lvl>
  </w:abstractNum>
  <w:abstractNum w:abstractNumId="98">
    <w:nsid w:val="3FA62ACA"/>
    <w:multiLevelType w:val="hybridMultilevel"/>
    <w:lvl w:ilvl="0">
      <w:lvlJc w:val="left"/>
      <w:lvlText w:val="%1"/>
      <w:numFmt w:val="lowerLetter"/>
      <w:start w:val="1"/>
    </w:lvl>
    <w:lvl w:ilvl="1">
      <w:lvlJc w:val="left"/>
      <w:lvlText w:val="(%2)"/>
      <w:numFmt w:val="lowerLetter"/>
      <w:start w:val="1"/>
    </w:lvl>
  </w:abstractNum>
  <w:abstractNum w:abstractNumId="99">
    <w:nsid w:val="14FCE74E"/>
    <w:multiLevelType w:val="hybridMultilevel"/>
    <w:lvl w:ilvl="0">
      <w:lvlJc w:val="left"/>
      <w:lvlText w:val="(%1)"/>
      <w:numFmt w:val="lowerLetter"/>
      <w:start w:val="2"/>
    </w:lvl>
    <w:lvl w:ilvl="1">
      <w:lvlJc w:val="left"/>
      <w:lvlText w:val="%2"/>
      <w:numFmt w:val="lowerLetter"/>
      <w:start w:val="1"/>
    </w:lvl>
  </w:abstractNum>
  <w:abstractNum w:abstractNumId="100">
    <w:nsid w:val="6A3DD3E8"/>
    <w:multiLevelType w:val="hybridMultilevel"/>
    <w:lvl w:ilvl="0">
      <w:lvlJc w:val="left"/>
      <w:lvlText w:val="%1."/>
      <w:numFmt w:val="decimal"/>
      <w:start w:val="1"/>
    </w:lvl>
  </w:abstractNum>
  <w:abstractNum w:abstractNumId="101">
    <w:nsid w:val="71C91298"/>
    <w:multiLevelType w:val="hybridMultilevel"/>
    <w:lvl w:ilvl="0">
      <w:lvlJc w:val="left"/>
      <w:lvlText w:val="(%1)"/>
      <w:numFmt w:val="lowerLetter"/>
      <w:start w:val="1"/>
    </w:lvl>
  </w:abstractNum>
  <w:abstractNum w:abstractNumId="102">
    <w:nsid w:val="9DAF632"/>
    <w:multiLevelType w:val="hybridMultilevel"/>
    <w:lvl w:ilvl="0">
      <w:lvlJc w:val="left"/>
      <w:lvlText w:val="%1."/>
      <w:numFmt w:val="decimal"/>
      <w:start w:val="5"/>
    </w:lvl>
  </w:abstractNum>
  <w:abstractNum w:abstractNumId="103">
    <w:nsid w:val="53299938"/>
    <w:multiLevelType w:val="hybridMultilevel"/>
    <w:lvl w:ilvl="0">
      <w:lvlJc w:val="left"/>
      <w:lvlText w:val="%1"/>
      <w:numFmt w:val="lowerLetter"/>
      <w:start w:val="1"/>
    </w:lvl>
    <w:lvl w:ilvl="1">
      <w:lvlJc w:val="left"/>
      <w:lvlText w:val="(%2)"/>
      <w:numFmt w:val="lowerLetter"/>
      <w:start w:val="1"/>
    </w:lvl>
  </w:abstractNum>
  <w:abstractNum w:abstractNumId="104">
    <w:nsid w:val="1FBFE8E0"/>
    <w:multiLevelType w:val="hybridMultilevel"/>
    <w:lvl w:ilvl="0">
      <w:lvlJc w:val="left"/>
      <w:lvlText w:val="(%1)"/>
      <w:numFmt w:val="lowerLetter"/>
      <w:start w:val="2"/>
    </w:lvl>
    <w:lvl w:ilvl="1">
      <w:lvlJc w:val="left"/>
      <w:lvlText w:val="%2"/>
      <w:numFmt w:val="lowerLetter"/>
      <w:start w:val="1"/>
    </w:lvl>
  </w:abstractNum>
  <w:abstractNum w:abstractNumId="105">
    <w:nsid w:val="5092CA79"/>
    <w:multiLevelType w:val="hybridMultilevel"/>
    <w:lvl w:ilvl="0">
      <w:lvlJc w:val="left"/>
      <w:lvlText w:val="(%1)"/>
      <w:numFmt w:val="decimal"/>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147" Type="http://schemas.openxmlformats.org/officeDocument/2006/relationships/image" Target="media/image103.png"/><Relationship Id="rId169" Type="http://schemas.openxmlformats.org/officeDocument/2006/relationships/image" Target="media/image104.png"/><Relationship Id="rId189" Type="http://schemas.openxmlformats.org/officeDocument/2006/relationships/image" Target="media/image105.png"/><Relationship Id="rId199" Type="http://schemas.openxmlformats.org/officeDocument/2006/relationships/image" Target="media/image106.png"/><Relationship Id="rId200" Type="http://schemas.openxmlformats.org/officeDocument/2006/relationships/image" Target="media/image107.png"/><Relationship Id="rId201" Type="http://schemas.openxmlformats.org/officeDocument/2006/relationships/image" Target="media/image108.png"/><Relationship Id="rId202" Type="http://schemas.openxmlformats.org/officeDocument/2006/relationships/image" Target="media/image109.png"/><Relationship Id="rId203" Type="http://schemas.openxmlformats.org/officeDocument/2006/relationships/image" Target="media/image110.png"/><Relationship Id="rId204" Type="http://schemas.openxmlformats.org/officeDocument/2006/relationships/image" Target="media/image111.png"/><Relationship Id="rId205" Type="http://schemas.openxmlformats.org/officeDocument/2006/relationships/image" Target="media/image112.jpeg"/><Relationship Id="rId206" Type="http://schemas.openxmlformats.org/officeDocument/2006/relationships/image" Target="media/image113.png"/><Relationship Id="rId207" Type="http://schemas.openxmlformats.org/officeDocument/2006/relationships/image" Target="media/image114.png"/><Relationship Id="rId208" Type="http://schemas.openxmlformats.org/officeDocument/2006/relationships/image" Target="media/image115.png"/><Relationship Id="rId209" Type="http://schemas.openxmlformats.org/officeDocument/2006/relationships/image" Target="media/image116.png"/><Relationship Id="rId210" Type="http://schemas.openxmlformats.org/officeDocument/2006/relationships/image" Target="media/image117.png"/><Relationship Id="rId211" Type="http://schemas.openxmlformats.org/officeDocument/2006/relationships/image" Target="media/image118.png"/><Relationship Id="rId212" Type="http://schemas.openxmlformats.org/officeDocument/2006/relationships/image" Target="media/image119.png"/><Relationship Id="rId213" Type="http://schemas.openxmlformats.org/officeDocument/2006/relationships/image" Target="media/image120.png"/><Relationship Id="rId214" Type="http://schemas.openxmlformats.org/officeDocument/2006/relationships/image" Target="media/image121.png"/><Relationship Id="rId215" Type="http://schemas.openxmlformats.org/officeDocument/2006/relationships/image" Target="media/image122.png"/><Relationship Id="rId216" Type="http://schemas.openxmlformats.org/officeDocument/2006/relationships/image" Target="media/image123.png"/><Relationship Id="rId217" Type="http://schemas.openxmlformats.org/officeDocument/2006/relationships/image" Target="media/image124.png"/><Relationship Id="rId108" Type="http://schemas.openxmlformats.org/officeDocument/2006/relationships/hyperlink" Target="https://www.sec.gov/Archives/edgar/data/1158172/000095013307002643/x30988a3exv3w3.htm" TargetMode="External"/><Relationship Id="rId109" Type="http://schemas.openxmlformats.org/officeDocument/2006/relationships/hyperlink" Target="https://www.sec.gov/Archives/edgar/data/1158172/000115817218000091/certificateofamendmentauth.htm" TargetMode="External"/><Relationship Id="rId110" Type="http://schemas.openxmlformats.org/officeDocument/2006/relationships/hyperlink" Target="https://www.sec.gov/Archives/edgar/data/1158172/000119312517035566/d341700dex31.htm" TargetMode="External"/><Relationship Id="rId111" Type="http://schemas.openxmlformats.org/officeDocument/2006/relationships/hyperlink" Target="https://www.sec.gov/Archives/edgar/data/1158172/000119312517303026/d458683dex31.htm" TargetMode="External"/><Relationship Id="rId112" Type="http://schemas.openxmlformats.org/officeDocument/2006/relationships/hyperlink" Target="https://www.sec.gov/Archives/edgar/data/0001158172/000119312521081567/d120882dex31.htm" TargetMode="External"/><Relationship Id="rId113" Type="http://schemas.openxmlformats.org/officeDocument/2006/relationships/hyperlink" Target="https://www.sec.gov/Archives/edgar/data/1158172/000119312521081567/d120882dex32.htm" TargetMode="External"/><Relationship Id="rId114" Type="http://schemas.openxmlformats.org/officeDocument/2006/relationships/hyperlink" Target="https://www.sec.gov/Archives/edgar/data/1158172/000115817223000055/exhibit31-certificateofinc.htm" TargetMode="External"/><Relationship Id="rId115" Type="http://schemas.openxmlformats.org/officeDocument/2006/relationships/hyperlink" Target="https://www.sec.gov/Archives/edgar/data/1158172/000115817223000055/exhibit32-certificateofdes.htm" TargetMode="External"/><Relationship Id="rId116" Type="http://schemas.openxmlformats.org/officeDocument/2006/relationships/hyperlink" Target="https://www.sec.gov/Archives/edgar/data/1158172/000115817223000124/exhibit31certificateofinco.htm" TargetMode="External"/><Relationship Id="rId117" Type="http://schemas.openxmlformats.org/officeDocument/2006/relationships/hyperlink" Target="https://www.sec.gov/Archives/edgar/data/1158172/000115817224000061/certificateofdesignationsa.htm" TargetMode="External"/><Relationship Id="rId118" Type="http://schemas.openxmlformats.org/officeDocument/2006/relationships/hyperlink" Target="https://www.sec.gov/Archives/edgar/data/1158172/000115817218000160/exhibit32-amendedandrestat.htm" TargetMode="External"/><Relationship Id="rId119" Type="http://schemas.openxmlformats.org/officeDocument/2006/relationships/hyperlink" Target="https://www.sec.gov/Archives/edgar/data/1158172/000119312521081567/d120882dex104.htm" TargetMode="External"/><Relationship Id="rId120" Type="http://schemas.openxmlformats.org/officeDocument/2006/relationships/hyperlink" Target="https://www.sec.gov/Archives/edgar/data/1158172/000119312521081567/d120882dex105.htm" TargetMode="External"/><Relationship Id="rId121" Type="http://schemas.openxmlformats.org/officeDocument/2006/relationships/hyperlink" Target="https://www.sec.gov/Archives/edgar/data/1158172/000095013307002643/x30988a3exv4w1.htm" TargetMode="External"/><Relationship Id="rId122" Type="http://schemas.openxmlformats.org/officeDocument/2006/relationships/hyperlink" Target="https://www.sec.gov/Archives/edgar/data/806968/000119312515054545/d869324dex99d3.htm" TargetMode="External"/><Relationship Id="rId123" Type="http://schemas.openxmlformats.org/officeDocument/2006/relationships/hyperlink" Target="https://www.sec.gov/Archives/edgar/data/806968/000119312515054545/d869324dex99d4.htm" TargetMode="External"/><Relationship Id="rId124" Type="http://schemas.openxmlformats.org/officeDocument/2006/relationships/hyperlink" Target="https://www.sec.gov/Archives/edgar/data/1158172/000115817224000066/exhibit41-seriesbdividendw.htm" TargetMode="External"/><Relationship Id="rId125" Type="http://schemas.openxmlformats.org/officeDocument/2006/relationships/hyperlink" Target="https://www.sec.gov/Archives/edgar/data/1158172/000115817224000066/exhibit42-seriesbdividendw.htm" TargetMode="External"/><Relationship Id="rId126" Type="http://schemas.openxmlformats.org/officeDocument/2006/relationships/hyperlink" Target="https://www.sec.gov/Archives/edgar/data/1158172/000115817224000066/exhibit43-seriesbdividendw.htm" TargetMode="External"/><Relationship Id="rId129" Type="http://schemas.openxmlformats.org/officeDocument/2006/relationships/hyperlink" Target="https://www.sec.gov/Archives/edgar/data/1158172/000115817224000091/exhibit41-seriesbdividendw.htm" TargetMode="External"/><Relationship Id="rId130" Type="http://schemas.openxmlformats.org/officeDocument/2006/relationships/hyperlink" Target="https://www.sec.gov/Archives/edgar/data/1158172/000115817224000091/exhibit42-seriesbdividendw.htm" TargetMode="External"/><Relationship Id="rId131" Type="http://schemas.openxmlformats.org/officeDocument/2006/relationships/hyperlink" Target="https://www.sec.gov/Archives/edgar/data/1158172/000115817224000091/exhibit43-seriesbdividendw.htm" TargetMode="External"/><Relationship Id="rId132" Type="http://schemas.openxmlformats.org/officeDocument/2006/relationships/hyperlink" Target="https://www.sec.gov/Archives/edgar/data/1158172/000119312521004725/d108009dex101.htm" TargetMode="External"/><Relationship Id="rId133" Type="http://schemas.openxmlformats.org/officeDocument/2006/relationships/hyperlink" Target="https://www.sec.gov/Archives/edgar/data/1158172/000119312521004725/d108009dex102.htm" TargetMode="External"/><Relationship Id="rId134" Type="http://schemas.openxmlformats.org/officeDocument/2006/relationships/hyperlink" Target="https://www.sec.gov/Archives/edgar/data/1158172/000119312521004725/d108009dex103.htm" TargetMode="External"/><Relationship Id="rId135" Type="http://schemas.openxmlformats.org/officeDocument/2006/relationships/hyperlink" Target="https://www.sec.gov/Archives/edgar/data/1158172/000119312521081567/d120882dex106.htm" TargetMode="External"/><Relationship Id="rId136" Type="http://schemas.openxmlformats.org/officeDocument/2006/relationships/hyperlink" Target="https://www.sec.gov/Archives/edgar/data/1158172/000115817222000025/exhibit101-firstamendmentt.htm" TargetMode="External"/><Relationship Id="rId137" Type="http://schemas.openxmlformats.org/officeDocument/2006/relationships/hyperlink" Target="https://www.sec.gov/Archives/edgar/data/1158172/000115817222000103/exhibit101secondamendmentt.htm" TargetMode="External"/><Relationship Id="rId138" Type="http://schemas.openxmlformats.org/officeDocument/2006/relationships/hyperlink" Target="https://www.sec.gov/Archives/edgar/data/1158172/000115817221000109/exhibit101-creditagreement.htm" TargetMode="External"/><Relationship Id="rId139" Type="http://schemas.openxmlformats.org/officeDocument/2006/relationships/hyperlink" Target="https://www.sec.gov/Archives/edgar/data/1158172/000115817222000006/exhibit101-firstamendmentt.htm" TargetMode="External"/><Relationship Id="rId140" Type="http://schemas.openxmlformats.org/officeDocument/2006/relationships/hyperlink" Target="https://www.sec.gov/Archives/edgar/data/1158172/000115817223000010/exhibit101-creditagreement.htm" TargetMode="External"/><Relationship Id="rId141" Type="http://schemas.openxmlformats.org/officeDocument/2006/relationships/hyperlink" Target="https://www.sec.gov/Archives/edgar/data/1158172/000119312511348048/d272307dex101.htm" TargetMode="External"/><Relationship Id="rId142" Type="http://schemas.openxmlformats.org/officeDocument/2006/relationships/hyperlink" Target="https://www.sec.gov/Archives/edgar/data/1158172/000119312511348048/d272307dex102.htm" TargetMode="External"/><Relationship Id="rId143" Type="http://schemas.openxmlformats.org/officeDocument/2006/relationships/hyperlink" Target="https://www.sec.gov/Archives/edgar/data/806968/000119312515054545/d869324dex99d1.htm" TargetMode="External"/><Relationship Id="rId144" Type="http://schemas.openxmlformats.org/officeDocument/2006/relationships/hyperlink" Target="https://www.sec.gov/Archives/edgar/data/806968/000119312515054545/d869324dex99d5.htm" TargetMode="External"/><Relationship Id="rId145" Type="http://schemas.openxmlformats.org/officeDocument/2006/relationships/hyperlink" Target="https://www.sec.gov/Archives/edgar/data/1158172/000115817215000036/projectcognac-stockpurchas.htm" TargetMode="External"/><Relationship Id="rId146" Type="http://schemas.openxmlformats.org/officeDocument/2006/relationships/hyperlink" Target="https://www.sec.gov/Archives/edgar/data/1158172/000115817221000158/exhibit101-agreementandpla.htm" TargetMode="External"/><Relationship Id="rId148" Type="http://schemas.openxmlformats.org/officeDocument/2006/relationships/hyperlink" Target="https://www.sec.gov/Archives/edgar/data/1158172/000095013308000370/w47950bexv10w1.htm" TargetMode="External"/><Relationship Id="rId149" Type="http://schemas.openxmlformats.org/officeDocument/2006/relationships/hyperlink" Target="https://www.sec.gov/Archives/edgar/data/1158172/000115817218000096/a6thamendment-lease.htm" TargetMode="External"/><Relationship Id="rId150" Type="http://schemas.openxmlformats.org/officeDocument/2006/relationships/hyperlink" Target="https://www.sec.gov/Archives/edgar/data/1158172/000115817221000109/exhibit102-amendmentno7tod.htm" TargetMode="External"/><Relationship Id="rId151" Type="http://schemas.openxmlformats.org/officeDocument/2006/relationships/hyperlink" Target="https://www.sec.gov/Archives/edgar/data/1158172/000119312520193346/d19455dex101.htm" TargetMode="External"/><Relationship Id="rId152" Type="http://schemas.openxmlformats.org/officeDocument/2006/relationships/hyperlink" Target="https://www.sec.gov/Archives/edgar/data/1158172/000115817222000083/exhibit101-firstamendmentt.htm" TargetMode="External"/><Relationship Id="rId153" Type="http://schemas.openxmlformats.org/officeDocument/2006/relationships/hyperlink" Target="https://www.sec.gov/Archives/edgar/data/1158172/000115817223000086/exhibit101-secondamendment.htm" TargetMode="External"/><Relationship Id="rId154" Type="http://schemas.openxmlformats.org/officeDocument/2006/relationships/hyperlink" Target="https://www.sec.gov/Archives/edgar/data/1158172/000115817223000124/exhibit101thirdamendmentto.htm" TargetMode="External"/><Relationship Id="rId155" Type="http://schemas.openxmlformats.org/officeDocument/2006/relationships/hyperlink" Target="https://www.sec.gov/Archives/edgar/data/1158172/000115817218000096/grantnoticedirectorrsu.htm" TargetMode="External"/><Relationship Id="rId156" Type="http://schemas.openxmlformats.org/officeDocument/2006/relationships/hyperlink" Target="https://www.sec.gov/Archives/edgar/data/1158172/000115817218000198/exhibit105-formofrestricte.htm" TargetMode="External"/><Relationship Id="rId157" Type="http://schemas.openxmlformats.org/officeDocument/2006/relationships/hyperlink" Target="https://www.sec.gov/Archives/edgar/data/1158172/000115817220000021/exhibit1033-formofstoc.htm" TargetMode="External"/><Relationship Id="rId158" Type="http://schemas.openxmlformats.org/officeDocument/2006/relationships/hyperlink" Target="https://www.sec.gov/Archives/edgar/data/1158172/000115817220000021/exhibit1036-formofrest.htm" TargetMode="External"/><Relationship Id="rId159" Type="http://schemas.openxmlformats.org/officeDocument/2006/relationships/hyperlink" Target="https://www.sec.gov/Archives/edgar/data/1158172/000115817221000068/exhibit105-formofindemnifi.htm" TargetMode="External"/><Relationship Id="rId160" Type="http://schemas.openxmlformats.org/officeDocument/2006/relationships/hyperlink" Target="https://www.sec.gov/Archives/edgar/data/0001158172/000115817221000138/exhibit101-severanceagreem.htm" TargetMode="External"/><Relationship Id="rId161" Type="http://schemas.openxmlformats.org/officeDocument/2006/relationships/hyperlink" Target="https://www.sec.gov/Archives/edgar/data/0001158172/000115817221000138/exhibit102-changeofcontrol.htm" TargetMode="External"/><Relationship Id="rId162" Type="http://schemas.openxmlformats.org/officeDocument/2006/relationships/hyperlink" Target="https://www.sec.gov/Archives/edgar/data/1158172/000115817221000165/exhibit995-restrictedstock.htm" TargetMode="External"/><Relationship Id="rId163" Type="http://schemas.openxmlformats.org/officeDocument/2006/relationships/hyperlink" Target="https://www.sec.gov/Archives/edgar/data/1158172/000115817221000165/exhibit991-shareablee2013s.htm" TargetMode="External"/><Relationship Id="rId164" Type="http://schemas.openxmlformats.org/officeDocument/2006/relationships/hyperlink" Target="https://www.sec.gov/Archives/edgar/data/1158172/000115817221000165/exhibit992-amendmentno1tos.htm" TargetMode="External"/><Relationship Id="rId165" Type="http://schemas.openxmlformats.org/officeDocument/2006/relationships/hyperlink" Target="https://www.sec.gov/Archives/edgar/data/1158172/000115817221000165/exhibit993-amendmentno2tos.htm" TargetMode="External"/><Relationship Id="rId166" Type="http://schemas.openxmlformats.org/officeDocument/2006/relationships/hyperlink" Target="https://www.sec.gov/Archives/edgar/data/1158172/000115817221000165/exhibit994-amendmentno3tos.htm" TargetMode="External"/><Relationship Id="rId167" Type="http://schemas.openxmlformats.org/officeDocument/2006/relationships/hyperlink" Target="https://www.sec.gov/Archives/edgar/data/1158172/000115817222000006/exhibit102-transitionandse.htm" TargetMode="External"/><Relationship Id="rId168" Type="http://schemas.openxmlformats.org/officeDocument/2006/relationships/hyperlink" Target="https://www.sec.gov/Archives/edgar/data/1158172/000115817222000059/exhibit101-carpenterceoagr.htm" TargetMode="External"/><Relationship Id="rId170" Type="http://schemas.openxmlformats.org/officeDocument/2006/relationships/hyperlink" Target="https://www.sec.gov/Archives/edgar/data/1158172/000115817222000059/exhibit102-firstamendmentt.htm" TargetMode="External"/><Relationship Id="rId171" Type="http://schemas.openxmlformats.org/officeDocument/2006/relationships/hyperlink" Target="https://www.sec.gov/Archives/edgar/data/1158172/000115817222000059/exhibit103-firstamendmentt.htm" TargetMode="External"/><Relationship Id="rId172" Type="http://schemas.openxmlformats.org/officeDocument/2006/relationships/hyperlink" Target="https://www.sec.gov/Archives/edgar/data/1158172/000115817222000059/exhibit104-currycfoagreeme.htm" TargetMode="External"/><Relationship Id="rId173" Type="http://schemas.openxmlformats.org/officeDocument/2006/relationships/hyperlink" Target="https://www.sec.gov/Archives/edgar/data/1158172/000115817222000059/exhibit105-currychangeofco.htm" TargetMode="External"/><Relationship Id="rId174" Type="http://schemas.openxmlformats.org/officeDocument/2006/relationships/hyperlink" Target="https://www.sec.gov/Archives/edgar/data/1158172/000115817222000059/exhibit106-curryseverancea.htm" TargetMode="External"/><Relationship Id="rId175" Type="http://schemas.openxmlformats.org/officeDocument/2006/relationships/hyperlink" Target="https://www.sec.gov/Archives/edgar/data/1158172/000115817222000083/exhibit108-carpenterprsugr.htm" TargetMode="External"/><Relationship Id="rId176" Type="http://schemas.openxmlformats.org/officeDocument/2006/relationships/hyperlink" Target="https://www.sec.gov/Archives/edgar/data/1158172/000115817222000083/exhibit109-curryprsugranta.htm" TargetMode="External"/><Relationship Id="rId177" Type="http://schemas.openxmlformats.org/officeDocument/2006/relationships/hyperlink" Target="https://www.sec.gov/Archives/edgar/data/1158172/000115817222000088/exhibit101-letteragreement.htm" TargetMode="External"/><Relationship Id="rId178" Type="http://schemas.openxmlformats.org/officeDocument/2006/relationships/hyperlink" Target="https://www.sec.gov/Archives/edgar/data/1158172/000115817222000088/exhibit102-changeofcontrol.htm" TargetMode="External"/><Relationship Id="rId179" Type="http://schemas.openxmlformats.org/officeDocument/2006/relationships/hyperlink" Target="https://www.sec.gov/Archives/edgar/data/1158172/000115817222000088/exhibit103-severanceagreem.htm" TargetMode="External"/><Relationship Id="rId180" Type="http://schemas.openxmlformats.org/officeDocument/2006/relationships/hyperlink" Target="https://www.sec.gov/Archives/edgar/data/1158172/000115817222000113/exhibit1012-formofperforma.htm" TargetMode="External"/><Relationship Id="rId181" Type="http://schemas.openxmlformats.org/officeDocument/2006/relationships/hyperlink" Target="https://www.sec.gov/Archives/edgar/data/1158172/000115817224000012/exhibit1055-formofrestrict.htm" TargetMode="External"/><Relationship Id="rId182" Type="http://schemas.openxmlformats.org/officeDocument/2006/relationships/hyperlink" Target="https://www.sec.gov/Archives/edgar/data/1158172/000115817224000012/exhibit1056-formofperforma.htm" TargetMode="External"/><Relationship Id="rId183" Type="http://schemas.openxmlformats.org/officeDocument/2006/relationships/hyperlink" Target="https://www.sec.gov/Archives/edgar/data/1158172/000115817224000091/exhibit101seriesbsubscript.htm" TargetMode="External"/><Relationship Id="rId184" Type="http://schemas.openxmlformats.org/officeDocument/2006/relationships/hyperlink" Target="https://www.sec.gov/Archives/edgar/data/1158172/000115817224000091/exhibit102seriesbsubscript.htm" TargetMode="External"/><Relationship Id="rId185" Type="http://schemas.openxmlformats.org/officeDocument/2006/relationships/hyperlink" Target="https://www.sec.gov/Archives/edgar/data/1158172/000115817224000091/exhibit103seriesbsubscript.htm" TargetMode="External"/><Relationship Id="rId186" Type="http://schemas.openxmlformats.org/officeDocument/2006/relationships/hyperlink" Target="https://www.sec.gov/Archives/edgar/data/1158172/000115817224000091/exhibit104stockholdersagre.htm" TargetMode="External"/><Relationship Id="rId187" Type="http://schemas.openxmlformats.org/officeDocument/2006/relationships/hyperlink" Target="https://www.sec.gov/Archives/edgar/data/1158172/000115817225000004/exhibit101charteramendment.htm" TargetMode="External"/><Relationship Id="rId188" Type="http://schemas.openxmlformats.org/officeDocument/2006/relationships/hyperlink" Target="https://www.sec.gov/Archives/edgar/data/1158172/000115817224000032/creditagreementthirdamendm.htm" TargetMode="External"/><Relationship Id="rId190" Type="http://schemas.openxmlformats.org/officeDocument/2006/relationships/hyperlink" Target="https://www.sec.gov/Archives/edgar/data/1158172/000115817224000111/exhibit105-creditagreement.htm" TargetMode="External"/><Relationship Id="rId191" Type="http://schemas.openxmlformats.org/officeDocument/2006/relationships/hyperlink" Target="https://www.sec.gov/Archives/edgar/data/1158172/000115817224000101/exhibit102fourthamendmentt.htm" TargetMode="External"/><Relationship Id="rId192" Type="http://schemas.openxmlformats.org/officeDocument/2006/relationships/hyperlink" Target="https://www.sec.gov/Archives/edgar/data/1158172/000119312524147100/d838995dex101.htm" TargetMode="External"/><Relationship Id="rId193" Type="http://schemas.openxmlformats.org/officeDocument/2006/relationships/hyperlink" Target="https://www.sec.gov/Archives/edgar/data/1158172/000115817224000101/exhibit104cashincentivepla.htm" TargetMode="External"/><Relationship Id="rId194" Type="http://schemas.openxmlformats.org/officeDocument/2006/relationships/hyperlink" Target="https://www.sec.gov/Archives/edgar/data/1158172/000115817224000039/exhibit101-bagdasarianchan.htm" TargetMode="External"/><Relationship Id="rId195" Type="http://schemas.openxmlformats.org/officeDocument/2006/relationships/hyperlink" Target="https://www.sec.gov/Archives/edgar/data/1158172/000115817224000039/exhibit102-bagdasarianseve.htm" TargetMode="External"/><Relationship Id="rId196" Type="http://schemas.openxmlformats.org/officeDocument/2006/relationships/hyperlink" Target="https://www.sec.gov/Archives/edgar/data/1158172/000115817225000004/exhibit102financeagreement.htm" TargetMode="External"/><Relationship Id="rId197" Type="http://schemas.openxmlformats.org/officeDocument/2006/relationships/hyperlink" Target="https://www.sec.gov/Archives/edgar/data/1158172/000115817225000004/exhibit103pledgeandsecurit.htm" TargetMode="External"/><Relationship Id="rId198" Type="http://schemas.openxmlformats.org/officeDocument/2006/relationships/hyperlink" Target="https://www.sec.gov/Archives/edgar/data/1158172/000115817224000012/exhibit971-comscoreincclaw.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2025-03-06T16:24:33Z</dcterms:created>
  <dcterms:modified xsi:type="dcterms:W3CDTF">2025-03-06T16:24:33Z</dcterms:modified>
</cp:coreProperties>
</file>